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233" w:type="dxa"/>
        <w:jc w:val="center"/>
        <w:tblLook w:val="01E0" w:firstRow="1" w:lastRow="1" w:firstColumn="1" w:lastColumn="1" w:noHBand="0" w:noVBand="0"/>
      </w:tblPr>
      <w:tblGrid>
        <w:gridCol w:w="3956"/>
        <w:gridCol w:w="9277"/>
      </w:tblGrid>
      <w:tr w:rsidR="00AB69A1" w:rsidRPr="00446E64" w:rsidTr="00A8580C">
        <w:trPr>
          <w:jc w:val="center"/>
        </w:trPr>
        <w:tc>
          <w:tcPr>
            <w:tcW w:w="3956" w:type="dxa"/>
          </w:tcPr>
          <w:p w:rsidR="00B0481B" w:rsidRPr="00446E64" w:rsidRDefault="00B0481B">
            <w:pPr>
              <w:jc w:val="center"/>
              <w:rPr>
                <w:color w:val="000000"/>
              </w:rPr>
            </w:pPr>
            <w:r w:rsidRPr="00446E64">
              <w:rPr>
                <w:b/>
                <w:color w:val="000000"/>
              </w:rPr>
              <w:br w:type="page"/>
            </w:r>
            <w:r w:rsidRPr="00446E64">
              <w:rPr>
                <w:color w:val="000000"/>
              </w:rPr>
              <w:t>UBND THÀNH PHỐ HUẾ</w:t>
            </w:r>
          </w:p>
          <w:p w:rsidR="00B0481B" w:rsidRPr="00446E64" w:rsidRDefault="00B0481B">
            <w:pPr>
              <w:jc w:val="center"/>
              <w:rPr>
                <w:color w:val="000000"/>
              </w:rPr>
            </w:pPr>
            <w:r w:rsidRPr="00446E64">
              <w:rPr>
                <w:b/>
                <w:color w:val="000000"/>
              </w:rPr>
              <w:t>SỞ Y TẾ</w:t>
            </w:r>
          </w:p>
          <w:p w:rsidR="00B0481B" w:rsidRPr="00446E64" w:rsidRDefault="00A56FFC">
            <w:pPr>
              <w:jc w:val="center"/>
              <w:rPr>
                <w:color w:val="000000"/>
                <w:sz w:val="28"/>
                <w:szCs w:val="20"/>
              </w:rPr>
            </w:pPr>
            <w:r w:rsidRPr="00446E64">
              <w:rPr>
                <w:rFonts w:ascii=".VnTime" w:hAnsi=".VnTime"/>
                <w:noProof/>
                <w:color w:val="000000"/>
                <w:sz w:val="28"/>
                <w:szCs w:val="20"/>
              </w:rPr>
              <mc:AlternateContent>
                <mc:Choice Requires="wps">
                  <w:drawing>
                    <wp:anchor distT="0" distB="0" distL="114300" distR="114300" simplePos="0" relativeHeight="251657216" behindDoc="0" locked="0" layoutInCell="1" allowOverlap="1">
                      <wp:simplePos x="0" y="0"/>
                      <wp:positionH relativeFrom="column">
                        <wp:posOffset>1010285</wp:posOffset>
                      </wp:positionH>
                      <wp:positionV relativeFrom="paragraph">
                        <wp:posOffset>5715</wp:posOffset>
                      </wp:positionV>
                      <wp:extent cx="342900" cy="0"/>
                      <wp:effectExtent l="7620" t="10160" r="11430"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ED2D"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45pt" to="10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qSFwIAAD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"/>
                  </w:pict>
                </mc:Fallback>
              </mc:AlternateContent>
            </w:r>
          </w:p>
          <w:p w:rsidR="00B0481B" w:rsidRPr="00446E64" w:rsidRDefault="00B0481B" w:rsidP="007A13AF">
            <w:pPr>
              <w:jc w:val="center"/>
              <w:rPr>
                <w:color w:val="000000"/>
                <w:sz w:val="24"/>
                <w:szCs w:val="24"/>
              </w:rPr>
            </w:pPr>
          </w:p>
        </w:tc>
        <w:tc>
          <w:tcPr>
            <w:tcW w:w="9277" w:type="dxa"/>
          </w:tcPr>
          <w:p w:rsidR="00B0481B" w:rsidRPr="00446E64" w:rsidRDefault="00B0481B">
            <w:pPr>
              <w:jc w:val="center"/>
              <w:rPr>
                <w:b/>
                <w:color w:val="000000"/>
              </w:rPr>
            </w:pPr>
            <w:r w:rsidRPr="00446E64">
              <w:rPr>
                <w:b/>
                <w:color w:val="000000"/>
              </w:rPr>
              <w:t>CỘNG HOÀ XÃ HỘI CHỦ NGHĨA VIỆT NAM</w:t>
            </w:r>
          </w:p>
          <w:p w:rsidR="00B0481B" w:rsidRPr="00446E64" w:rsidRDefault="00B0481B">
            <w:pPr>
              <w:jc w:val="center"/>
              <w:rPr>
                <w:b/>
                <w:color w:val="000000"/>
                <w:sz w:val="28"/>
                <w:szCs w:val="28"/>
              </w:rPr>
            </w:pPr>
            <w:r w:rsidRPr="00446E64">
              <w:rPr>
                <w:b/>
                <w:color w:val="000000"/>
                <w:szCs w:val="28"/>
              </w:rPr>
              <w:t>Độc lập - Tự do - Hạnh phúc</w:t>
            </w:r>
          </w:p>
          <w:p w:rsidR="00B0481B" w:rsidRPr="00446E64" w:rsidRDefault="00A56FFC">
            <w:pPr>
              <w:jc w:val="both"/>
              <w:rPr>
                <w:color w:val="000000"/>
                <w:szCs w:val="20"/>
              </w:rPr>
            </w:pPr>
            <w:r w:rsidRPr="00446E64">
              <w:rPr>
                <w:rFonts w:ascii=".VnTime" w:hAnsi=".VnTime"/>
                <w:noProof/>
                <w:color w:val="000000"/>
                <w:szCs w:val="20"/>
              </w:rPr>
              <mc:AlternateContent>
                <mc:Choice Requires="wps">
                  <w:drawing>
                    <wp:anchor distT="0" distB="0" distL="114300" distR="114300" simplePos="0" relativeHeight="251658240" behindDoc="0" locked="0" layoutInCell="1" allowOverlap="1">
                      <wp:simplePos x="0" y="0"/>
                      <wp:positionH relativeFrom="column">
                        <wp:posOffset>1867535</wp:posOffset>
                      </wp:positionH>
                      <wp:positionV relativeFrom="paragraph">
                        <wp:posOffset>24130</wp:posOffset>
                      </wp:positionV>
                      <wp:extent cx="1990090" cy="0"/>
                      <wp:effectExtent l="5080" t="9525" r="5080"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519A5"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05pt,1.9pt" to="303.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fDEQIAACg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"/>
                  </w:pict>
                </mc:Fallback>
              </mc:AlternateContent>
            </w:r>
          </w:p>
          <w:p w:rsidR="00B0481B" w:rsidRPr="00446E64" w:rsidRDefault="00B0481B" w:rsidP="00662527">
            <w:pPr>
              <w:jc w:val="center"/>
              <w:rPr>
                <w:i/>
                <w:color w:val="000000"/>
                <w:sz w:val="28"/>
                <w:szCs w:val="20"/>
              </w:rPr>
            </w:pPr>
            <w:r w:rsidRPr="00446E64">
              <w:rPr>
                <w:i/>
                <w:color w:val="000000"/>
              </w:rPr>
              <w:t xml:space="preserve">Huế, ngày    </w:t>
            </w:r>
            <w:r w:rsidR="00915966" w:rsidRPr="00446E64">
              <w:rPr>
                <w:i/>
                <w:color w:val="000000"/>
              </w:rPr>
              <w:t xml:space="preserve">     </w:t>
            </w:r>
            <w:r w:rsidRPr="00446E64">
              <w:rPr>
                <w:i/>
                <w:color w:val="000000"/>
              </w:rPr>
              <w:t xml:space="preserve"> tháng </w:t>
            </w:r>
            <w:r w:rsidR="00662527">
              <w:rPr>
                <w:i/>
                <w:color w:val="000000"/>
              </w:rPr>
              <w:t xml:space="preserve">     </w:t>
            </w:r>
            <w:r w:rsidRPr="00446E64">
              <w:rPr>
                <w:i/>
                <w:color w:val="000000"/>
              </w:rPr>
              <w:t xml:space="preserve"> năm 202</w:t>
            </w:r>
            <w:r w:rsidR="00662527">
              <w:rPr>
                <w:i/>
                <w:color w:val="000000"/>
              </w:rPr>
              <w:t>6</w:t>
            </w:r>
          </w:p>
        </w:tc>
      </w:tr>
    </w:tbl>
    <w:p w:rsidR="00B0481B" w:rsidRPr="007A13AF" w:rsidRDefault="00B0481B" w:rsidP="007A13AF">
      <w:pPr>
        <w:spacing w:before="60" w:after="60"/>
        <w:jc w:val="both"/>
        <w:rPr>
          <w:rFonts w:eastAsia="MS Mincho"/>
          <w:b/>
          <w:bCs/>
          <w:color w:val="000000"/>
          <w:sz w:val="28"/>
          <w:szCs w:val="28"/>
          <w:lang w:eastAsia="ja-JP"/>
        </w:rPr>
      </w:pPr>
    </w:p>
    <w:p w:rsidR="007A13AF" w:rsidRPr="007A13AF" w:rsidRDefault="00437B28" w:rsidP="007A13AF">
      <w:pPr>
        <w:jc w:val="center"/>
        <w:rPr>
          <w:b/>
          <w:bCs/>
          <w:sz w:val="28"/>
          <w:szCs w:val="28"/>
        </w:rPr>
      </w:pPr>
      <w:bookmarkStart w:id="0" w:name="RANGE!A1:F214"/>
      <w:bookmarkEnd w:id="0"/>
      <w:r>
        <w:rPr>
          <w:b/>
          <w:bCs/>
          <w:sz w:val="28"/>
          <w:szCs w:val="28"/>
        </w:rPr>
        <w:t>BẢN SO SÁNH, THUYẾT MINH DỰ THẢO NGHỊ QUYẾT THAY THẾ NGHỊ QUYẾT SỐ 12/2022/NQ-HĐND NGÀY 14/7/2022 CỦA HỘI ĐỒNG NHÂN DÂN TỈNH QUY ĐỊNH MỨC QUÀ TẶNG CHÚC THỌ, MỪNG THỌ NGƯỜI CAO TUỔI TRÊN ĐỊA BÀN TỈNH THỪA THIÊN HUẾ</w:t>
      </w:r>
      <w:r w:rsidR="00582413">
        <w:rPr>
          <w:b/>
          <w:bCs/>
          <w:sz w:val="28"/>
          <w:szCs w:val="28"/>
        </w:rPr>
        <w:t xml:space="preserve"> (NAY LÀ THÀNH PHỐ HUẾ)</w:t>
      </w:r>
    </w:p>
    <w:p w:rsidR="007A13AF" w:rsidRDefault="007A13AF" w:rsidP="007A13AF">
      <w:pPr>
        <w:jc w:val="center"/>
        <w:rPr>
          <w:b/>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6"/>
        <w:gridCol w:w="4771"/>
        <w:gridCol w:w="4493"/>
      </w:tblGrid>
      <w:tr w:rsidR="00A8580C" w:rsidRPr="00F43930" w:rsidTr="00F43930">
        <w:trPr>
          <w:tblHeader/>
        </w:trPr>
        <w:tc>
          <w:tcPr>
            <w:tcW w:w="4962" w:type="dxa"/>
            <w:shd w:val="clear" w:color="auto" w:fill="FFE599"/>
            <w:vAlign w:val="center"/>
          </w:tcPr>
          <w:p w:rsidR="00A8580C" w:rsidRPr="00A646A4" w:rsidRDefault="00A8580C" w:rsidP="00F43930">
            <w:pPr>
              <w:spacing w:before="60" w:after="60"/>
              <w:jc w:val="center"/>
              <w:rPr>
                <w:b/>
                <w:color w:val="000000"/>
              </w:rPr>
            </w:pPr>
            <w:r w:rsidRPr="00A646A4">
              <w:rPr>
                <w:b/>
                <w:color w:val="000000"/>
              </w:rPr>
              <w:t>NGHỊ QUYẾT SỐ 12/2022/NQ-HĐND</w:t>
            </w:r>
          </w:p>
        </w:tc>
        <w:tc>
          <w:tcPr>
            <w:tcW w:w="4819" w:type="dxa"/>
            <w:shd w:val="clear" w:color="auto" w:fill="FFE599"/>
            <w:vAlign w:val="center"/>
          </w:tcPr>
          <w:p w:rsidR="00A8580C" w:rsidRPr="00A646A4" w:rsidRDefault="00A8580C" w:rsidP="00F43930">
            <w:pPr>
              <w:spacing w:before="60" w:after="60"/>
              <w:jc w:val="center"/>
              <w:rPr>
                <w:b/>
                <w:color w:val="000000"/>
              </w:rPr>
            </w:pPr>
            <w:r w:rsidRPr="00A646A4">
              <w:rPr>
                <w:b/>
                <w:color w:val="000000"/>
              </w:rPr>
              <w:t>DỰ THẢO NGHỊ QUYẾT THAY THẾ NGHỊ QUYẾT SỐ 12/2022/NQ-HĐND</w:t>
            </w:r>
          </w:p>
        </w:tc>
        <w:tc>
          <w:tcPr>
            <w:tcW w:w="4536" w:type="dxa"/>
            <w:shd w:val="clear" w:color="auto" w:fill="FFE599"/>
            <w:vAlign w:val="center"/>
          </w:tcPr>
          <w:p w:rsidR="00A8580C" w:rsidRPr="00A646A4" w:rsidRDefault="00A8580C" w:rsidP="00F43930">
            <w:pPr>
              <w:spacing w:before="60" w:after="60"/>
              <w:jc w:val="center"/>
              <w:rPr>
                <w:b/>
                <w:color w:val="000000"/>
              </w:rPr>
            </w:pPr>
            <w:r w:rsidRPr="00A646A4">
              <w:rPr>
                <w:b/>
                <w:color w:val="000000"/>
              </w:rPr>
              <w:t>THUYẾT MINH</w:t>
            </w:r>
          </w:p>
        </w:tc>
      </w:tr>
      <w:tr w:rsidR="00A8580C" w:rsidRPr="00F43930" w:rsidTr="00F43930">
        <w:tc>
          <w:tcPr>
            <w:tcW w:w="4962" w:type="dxa"/>
            <w:shd w:val="clear" w:color="auto" w:fill="auto"/>
            <w:vAlign w:val="center"/>
          </w:tcPr>
          <w:p w:rsidR="003C6FCE" w:rsidRPr="00A646A4" w:rsidRDefault="003C6FCE" w:rsidP="00EA7762">
            <w:pPr>
              <w:spacing w:before="60" w:after="60"/>
              <w:ind w:right="28" w:firstLine="176"/>
              <w:jc w:val="both"/>
              <w:rPr>
                <w:b/>
              </w:rPr>
            </w:pPr>
            <w:r w:rsidRPr="00A646A4">
              <w:rPr>
                <w:b/>
              </w:rPr>
              <w:t xml:space="preserve">Điều 1. Quy định mức quà tặng chúc thọ, mừng thọ người cao tuổi trên địa bàn tỉnh Thừa Thiên Huế, với các nội dung chủ yếu như sau: </w:t>
            </w:r>
          </w:p>
          <w:p w:rsidR="003C6FCE" w:rsidRPr="00A646A4" w:rsidRDefault="003C6FCE" w:rsidP="00EA7762">
            <w:pPr>
              <w:spacing w:before="60" w:after="60"/>
              <w:ind w:right="28" w:firstLine="176"/>
              <w:jc w:val="both"/>
            </w:pPr>
            <w:r w:rsidRPr="00A646A4">
              <w:t xml:space="preserve">1. Đối tượng áp dụng: </w:t>
            </w:r>
          </w:p>
          <w:p w:rsidR="003C6FCE" w:rsidRPr="00A646A4" w:rsidRDefault="003C6FCE" w:rsidP="00EA7762">
            <w:pPr>
              <w:spacing w:before="60" w:after="60"/>
              <w:ind w:right="28" w:firstLine="176"/>
              <w:jc w:val="both"/>
            </w:pPr>
            <w:r w:rsidRPr="00A646A4">
              <w:t xml:space="preserve">a) Người cao tuổi thọ ở tuổi 70, 75, 80, 85, 90, 95, 100 và trên 100 tuổi trên địa bàn tỉnh Thừa Thiên Huế. </w:t>
            </w:r>
          </w:p>
          <w:p w:rsidR="003C6FCE" w:rsidRPr="00A646A4" w:rsidRDefault="003C6FCE" w:rsidP="00EA7762">
            <w:pPr>
              <w:spacing w:before="60" w:after="60"/>
              <w:ind w:right="28" w:firstLine="176"/>
              <w:jc w:val="both"/>
            </w:pPr>
            <w:r w:rsidRPr="00A646A4">
              <w:t xml:space="preserve">b) Các cơ quan, đơn vị, địa phương, tổ chức, cá nhân được giao nhiệm vụ thực hiện công tác chúc thọ, mừng thọ người cao tuổi trên địa bàn tỉnh Thừa Thiên Huế. </w:t>
            </w:r>
          </w:p>
          <w:p w:rsidR="00A8580C" w:rsidRPr="00A646A4" w:rsidRDefault="00A8580C" w:rsidP="00EA7762">
            <w:pPr>
              <w:spacing w:before="60" w:after="60"/>
              <w:ind w:right="28" w:firstLine="176"/>
              <w:jc w:val="both"/>
            </w:pPr>
          </w:p>
        </w:tc>
        <w:tc>
          <w:tcPr>
            <w:tcW w:w="4819" w:type="dxa"/>
            <w:shd w:val="clear" w:color="auto" w:fill="auto"/>
            <w:vAlign w:val="center"/>
          </w:tcPr>
          <w:p w:rsidR="003C6FCE" w:rsidRPr="00A646A4" w:rsidRDefault="003C6FCE" w:rsidP="00EA7762">
            <w:pPr>
              <w:spacing w:before="60" w:after="60"/>
              <w:ind w:right="28" w:firstLine="176"/>
              <w:jc w:val="both"/>
              <w:rPr>
                <w:b/>
              </w:rPr>
            </w:pPr>
            <w:r w:rsidRPr="00A646A4">
              <w:rPr>
                <w:rFonts w:eastAsia="Calibri"/>
                <w:b/>
              </w:rPr>
              <w:t xml:space="preserve">Điều </w:t>
            </w:r>
            <w:r w:rsidRPr="00A646A4">
              <w:rPr>
                <w:b/>
              </w:rPr>
              <w:t>1. Phạm vi điều chỉnh và đối tượng áp dụng</w:t>
            </w:r>
          </w:p>
          <w:p w:rsidR="003C6FCE" w:rsidRPr="00A646A4" w:rsidRDefault="003C6FCE" w:rsidP="00EA7762">
            <w:pPr>
              <w:spacing w:before="60" w:after="60"/>
              <w:ind w:right="28" w:firstLine="176"/>
              <w:jc w:val="both"/>
            </w:pPr>
            <w:r w:rsidRPr="00A646A4">
              <w:rPr>
                <w:b/>
              </w:rPr>
              <w:t>1. Phạm vi điều chỉnh</w:t>
            </w:r>
            <w:r w:rsidRPr="00A646A4">
              <w:t>: Nghị quyết này quy định mức chi quà tặng chúc thọ, mừng thọ người cao tuổi trên địa bàn thành phố.</w:t>
            </w:r>
          </w:p>
          <w:p w:rsidR="003C6FCE" w:rsidRPr="00A646A4" w:rsidRDefault="003C6FCE" w:rsidP="00EA7762">
            <w:pPr>
              <w:spacing w:before="60" w:after="60"/>
              <w:ind w:right="28" w:firstLine="176"/>
              <w:jc w:val="both"/>
            </w:pPr>
            <w:r w:rsidRPr="00A646A4">
              <w:rPr>
                <w:b/>
              </w:rPr>
              <w:t>2. Đối tượng áp dụng</w:t>
            </w:r>
            <w:r w:rsidRPr="00A646A4">
              <w:t>:</w:t>
            </w:r>
          </w:p>
          <w:p w:rsidR="003C6FCE" w:rsidRPr="00A646A4" w:rsidRDefault="003C6FCE" w:rsidP="00EA7762">
            <w:pPr>
              <w:spacing w:before="60" w:after="60"/>
              <w:ind w:right="28" w:firstLine="176"/>
              <w:jc w:val="both"/>
            </w:pPr>
            <w:r w:rsidRPr="00A646A4">
              <w:t xml:space="preserve">a) Người cao tuổi là công dân Việt Nam ở các độ tuổi 70, 75, 80, 85, 90, 95, 100 và trên 100 tuổi đang cư trú hợp pháp </w:t>
            </w:r>
            <w:r w:rsidR="00E06F07" w:rsidRPr="00A646A4">
              <w:t>(có đăng ký thường trú hoặc tạm trú ổn định trên 6 tháng)</w:t>
            </w:r>
            <w:r w:rsidRPr="00A646A4">
              <w:t xml:space="preserve"> trên địa bàn thành phố Huế.  </w:t>
            </w:r>
          </w:p>
          <w:p w:rsidR="003C6FCE" w:rsidRPr="00A646A4" w:rsidRDefault="003C6FCE" w:rsidP="00EA7762">
            <w:pPr>
              <w:spacing w:before="60" w:after="60"/>
              <w:ind w:right="28" w:firstLine="176"/>
              <w:jc w:val="both"/>
            </w:pPr>
            <w:r w:rsidRPr="00A646A4">
              <w:t>b) Các cơ quan, đơn vị, UBND cấp xã và tổ chức, cá nhân được giao nhiệm vụ thực hiện công tác chúc thọ, mừng thọ người cao tuổi trên địa bàn thành phố.</w:t>
            </w:r>
          </w:p>
          <w:p w:rsidR="00A8580C" w:rsidRPr="00A646A4" w:rsidRDefault="00A8580C" w:rsidP="00EA7762">
            <w:pPr>
              <w:spacing w:before="60" w:after="60"/>
              <w:ind w:right="28" w:firstLine="176"/>
              <w:jc w:val="both"/>
            </w:pPr>
          </w:p>
        </w:tc>
        <w:tc>
          <w:tcPr>
            <w:tcW w:w="4536" w:type="dxa"/>
            <w:shd w:val="clear" w:color="auto" w:fill="auto"/>
            <w:vAlign w:val="center"/>
          </w:tcPr>
          <w:p w:rsidR="00A8580C" w:rsidRPr="00A646A4" w:rsidRDefault="00974BBD" w:rsidP="00EA7762">
            <w:pPr>
              <w:spacing w:before="60" w:after="60"/>
              <w:ind w:right="28" w:firstLine="176"/>
              <w:jc w:val="both"/>
              <w:rPr>
                <w:color w:val="000000"/>
              </w:rPr>
            </w:pPr>
            <w:r w:rsidRPr="00A646A4">
              <w:t>Ngày 30/11/2024, Quốc hội ban hành Nghị quyết số 175/2024/QH15 về việc thành lập thành phố Huế trực thuộc trung ương</w:t>
            </w:r>
            <w:r w:rsidRPr="00A646A4">
              <w:rPr>
                <w:color w:val="000000"/>
              </w:rPr>
              <w:t xml:space="preserve">. </w:t>
            </w:r>
            <w:r w:rsidR="00295BB0" w:rsidRPr="00A646A4">
              <w:rPr>
                <w:color w:val="000000"/>
              </w:rPr>
              <w:t>Để đảm bảo phù hợp với tình hình thực tế và quy định cụ thể về phạm vi điều chỉnh, đối tượng áp dụng nên những nội dung sau được kế thừa, thay đổi, điều chỉnh cụ thể:</w:t>
            </w:r>
          </w:p>
          <w:p w:rsidR="00295BB0" w:rsidRPr="00A646A4" w:rsidRDefault="00295BB0" w:rsidP="00EA7762">
            <w:pPr>
              <w:spacing w:before="60" w:after="60"/>
              <w:ind w:right="28" w:firstLine="176"/>
              <w:jc w:val="both"/>
              <w:rPr>
                <w:color w:val="000000"/>
              </w:rPr>
            </w:pPr>
            <w:r w:rsidRPr="00A646A4">
              <w:rPr>
                <w:color w:val="000000"/>
              </w:rPr>
              <w:t>1. Thay đổi tên gọi của Điều 1</w:t>
            </w:r>
          </w:p>
          <w:p w:rsidR="00A167C7" w:rsidRPr="00A646A4" w:rsidRDefault="00295BB0" w:rsidP="00EA7762">
            <w:pPr>
              <w:spacing w:before="60" w:after="60"/>
              <w:ind w:right="28" w:firstLine="176"/>
              <w:jc w:val="both"/>
              <w:rPr>
                <w:color w:val="000000"/>
              </w:rPr>
            </w:pPr>
            <w:r w:rsidRPr="00A646A4">
              <w:rPr>
                <w:color w:val="000000"/>
              </w:rPr>
              <w:t>2. Sửa đổi, bổ sung lại đối tượng áp dụng</w:t>
            </w:r>
          </w:p>
          <w:p w:rsidR="00A167C7" w:rsidRPr="00A646A4" w:rsidRDefault="00A167C7" w:rsidP="00EA7762">
            <w:pPr>
              <w:spacing w:before="60" w:after="60"/>
              <w:ind w:right="28" w:firstLine="176"/>
              <w:jc w:val="both"/>
              <w:rPr>
                <w:color w:val="000000"/>
              </w:rPr>
            </w:pPr>
            <w:r w:rsidRPr="00A646A4">
              <w:rPr>
                <w:color w:val="000000"/>
              </w:rPr>
              <w:t>3. Bổ sung thêm phạm vi điều chỉnh của Nghị quyết</w:t>
            </w:r>
            <w:r w:rsidR="00F01A1B">
              <w:rPr>
                <w:color w:val="000000"/>
              </w:rPr>
              <w:t xml:space="preserve"> </w:t>
            </w:r>
            <w:r w:rsidR="00F01A1B" w:rsidRPr="00B356D7">
              <w:rPr>
                <w:iCs/>
                <w:lang w:val="nb-NO"/>
              </w:rPr>
              <w:t>để đảm bảo tính chặt chẽ cho dự thảo Nghị quyết và thống nhất trong quá trình triển khai thực hiện</w:t>
            </w:r>
            <w:r w:rsidRPr="00A646A4">
              <w:rPr>
                <w:color w:val="000000"/>
              </w:rPr>
              <w:t>.</w:t>
            </w:r>
          </w:p>
          <w:p w:rsidR="00295BB0" w:rsidRPr="00A646A4" w:rsidRDefault="00A167C7" w:rsidP="00EA7762">
            <w:pPr>
              <w:spacing w:before="60" w:after="60"/>
              <w:ind w:right="28" w:firstLine="176"/>
              <w:jc w:val="both"/>
              <w:rPr>
                <w:color w:val="000000"/>
              </w:rPr>
            </w:pPr>
            <w:r w:rsidRPr="00A646A4">
              <w:rPr>
                <w:color w:val="000000"/>
              </w:rPr>
              <w:t xml:space="preserve">4. </w:t>
            </w:r>
            <w:r w:rsidR="00203DC5" w:rsidRPr="00A646A4">
              <w:rPr>
                <w:color w:val="000000"/>
              </w:rPr>
              <w:t>Điều chỉnh</w:t>
            </w:r>
            <w:r w:rsidRPr="00A646A4">
              <w:rPr>
                <w:color w:val="000000"/>
              </w:rPr>
              <w:t xml:space="preserve"> nội dung quy định ở khoản 2 Điều 1 Nghị quyết số </w:t>
            </w:r>
            <w:r w:rsidRPr="00A646A4">
              <w:rPr>
                <w:color w:val="000000"/>
              </w:rPr>
              <w:lastRenderedPageBreak/>
              <w:t xml:space="preserve">12/2022/NQ-HĐND </w:t>
            </w:r>
            <w:r w:rsidR="00B44793" w:rsidRPr="00A646A4">
              <w:rPr>
                <w:color w:val="000000"/>
              </w:rPr>
              <w:t>thành</w:t>
            </w:r>
            <w:r w:rsidRPr="00A646A4">
              <w:rPr>
                <w:color w:val="000000"/>
              </w:rPr>
              <w:t xml:space="preserve"> Điều 2 của dự thảo Nghị quyết thay thế</w:t>
            </w:r>
            <w:r w:rsidR="00AA7791" w:rsidRPr="00A646A4">
              <w:rPr>
                <w:color w:val="000000"/>
              </w:rPr>
              <w:t>.</w:t>
            </w:r>
          </w:p>
          <w:p w:rsidR="00E06F07" w:rsidRPr="00A646A4" w:rsidRDefault="00E06F07" w:rsidP="00EA7762">
            <w:pPr>
              <w:spacing w:before="60" w:after="60"/>
              <w:ind w:right="28" w:firstLine="176"/>
              <w:jc w:val="both"/>
              <w:rPr>
                <w:color w:val="000000"/>
              </w:rPr>
            </w:pPr>
            <w:r w:rsidRPr="00A646A4">
              <w:rPr>
                <w:color w:val="000000"/>
              </w:rPr>
              <w:t>5. Thống nhất điều kiện cư trú để đảm bảo chính sách thực hiện công bằng.</w:t>
            </w:r>
          </w:p>
        </w:tc>
      </w:tr>
      <w:tr w:rsidR="00D04B03" w:rsidRPr="00F43930" w:rsidTr="00F43930">
        <w:tc>
          <w:tcPr>
            <w:tcW w:w="4962" w:type="dxa"/>
            <w:shd w:val="clear" w:color="auto" w:fill="auto"/>
            <w:vAlign w:val="center"/>
          </w:tcPr>
          <w:p w:rsidR="00D04B03" w:rsidRPr="00A646A4" w:rsidRDefault="00D04B03" w:rsidP="00B44793">
            <w:pPr>
              <w:spacing w:before="60" w:after="60"/>
              <w:ind w:firstLine="210"/>
              <w:jc w:val="both"/>
            </w:pPr>
            <w:r w:rsidRPr="00A646A4">
              <w:lastRenderedPageBreak/>
              <w:t xml:space="preserve">2. Mức quà tặng chúc thọ, mừng thọ người cao tuổi </w:t>
            </w:r>
          </w:p>
          <w:p w:rsidR="00D04B03" w:rsidRPr="00A646A4" w:rsidRDefault="00D04B03" w:rsidP="00B44793">
            <w:pPr>
              <w:spacing w:before="60" w:after="60"/>
              <w:ind w:firstLine="210"/>
              <w:jc w:val="both"/>
            </w:pPr>
            <w:r w:rsidRPr="00A646A4">
              <w:t xml:space="preserve">a) Người cao tuổi thọ 70 tuổi, 75 tuổi: 400.000 đồng/người. </w:t>
            </w:r>
          </w:p>
          <w:p w:rsidR="00D04B03" w:rsidRPr="00A646A4" w:rsidRDefault="00D04B03" w:rsidP="00B44793">
            <w:pPr>
              <w:spacing w:before="60" w:after="60"/>
              <w:ind w:firstLine="210"/>
              <w:jc w:val="both"/>
            </w:pPr>
            <w:r w:rsidRPr="00A646A4">
              <w:t xml:space="preserve">b) Người cao tuổi thọ 80 tuổi, 85 tuổi: 500.000 đồng/người. </w:t>
            </w:r>
          </w:p>
          <w:p w:rsidR="00D04B03" w:rsidRPr="00A646A4" w:rsidRDefault="00D04B03" w:rsidP="00B44793">
            <w:pPr>
              <w:spacing w:before="60" w:after="60"/>
              <w:ind w:firstLine="210"/>
              <w:jc w:val="both"/>
            </w:pPr>
            <w:r w:rsidRPr="00A646A4">
              <w:t xml:space="preserve">c) Người cao tuổi thọ 90 tuổi: 600.000 đồng/người và 5 mét vải lụa. </w:t>
            </w:r>
          </w:p>
          <w:p w:rsidR="00D04B03" w:rsidRPr="00A646A4" w:rsidRDefault="00D04B03" w:rsidP="00B44793">
            <w:pPr>
              <w:spacing w:before="60" w:after="60"/>
              <w:ind w:firstLine="210"/>
              <w:jc w:val="both"/>
            </w:pPr>
            <w:r w:rsidRPr="00A646A4">
              <w:t xml:space="preserve">d) Người cao tuổi thọ 95 tuổi: 700.000 đồng/người và 5 mét vải lụa. </w:t>
            </w:r>
          </w:p>
          <w:p w:rsidR="00D04B03" w:rsidRPr="00A646A4" w:rsidRDefault="00D04B03" w:rsidP="00B44793">
            <w:pPr>
              <w:spacing w:before="60" w:after="60"/>
              <w:ind w:firstLine="210"/>
              <w:jc w:val="both"/>
            </w:pPr>
            <w:r w:rsidRPr="00A646A4">
              <w:t xml:space="preserve">đ) Người cao tuổi thọ 100 tuổi: 1.000.000 đồng/người và 5 mét vải lụa. </w:t>
            </w:r>
          </w:p>
          <w:p w:rsidR="00D04B03" w:rsidRPr="00A646A4" w:rsidRDefault="00D04B03" w:rsidP="00B44793">
            <w:pPr>
              <w:spacing w:before="60" w:after="60"/>
              <w:ind w:firstLine="210"/>
              <w:jc w:val="both"/>
              <w:rPr>
                <w:b/>
              </w:rPr>
            </w:pPr>
            <w:r w:rsidRPr="00A646A4">
              <w:t>e) Người cao tuổi thọ trên 100 tuổi hàng năm được tặng 1.000.000 đồng/người.</w:t>
            </w:r>
          </w:p>
        </w:tc>
        <w:tc>
          <w:tcPr>
            <w:tcW w:w="4819" w:type="dxa"/>
            <w:shd w:val="clear" w:color="auto" w:fill="auto"/>
            <w:vAlign w:val="center"/>
          </w:tcPr>
          <w:p w:rsidR="00D04B03" w:rsidRPr="00A646A4" w:rsidRDefault="00D04B03" w:rsidP="00B44793">
            <w:pPr>
              <w:spacing w:before="60" w:after="60"/>
              <w:ind w:firstLine="210"/>
              <w:jc w:val="both"/>
              <w:rPr>
                <w:b/>
              </w:rPr>
            </w:pPr>
            <w:r w:rsidRPr="00A646A4">
              <w:rPr>
                <w:b/>
              </w:rPr>
              <w:t>Điều 2. Mức chi quà tặng chúc thọ, mừng thọ người cao tuổi</w:t>
            </w:r>
          </w:p>
          <w:p w:rsidR="00D04B03" w:rsidRPr="00A646A4" w:rsidRDefault="00D04B03" w:rsidP="00B44793">
            <w:pPr>
              <w:spacing w:before="60" w:after="60"/>
              <w:ind w:firstLine="210"/>
              <w:jc w:val="both"/>
              <w:rPr>
                <w:color w:val="FF0000"/>
              </w:rPr>
            </w:pPr>
            <w:r w:rsidRPr="00A646A4">
              <w:t xml:space="preserve">1. Người cao tuổi thọ 70, 75 tuổi: </w:t>
            </w:r>
            <w:r w:rsidRPr="00A646A4">
              <w:rPr>
                <w:b/>
                <w:color w:val="FF0000"/>
              </w:rPr>
              <w:t>500.000 đồng/người</w:t>
            </w:r>
            <w:r w:rsidRPr="00A646A4">
              <w:rPr>
                <w:color w:val="FF0000"/>
              </w:rPr>
              <w:t>.</w:t>
            </w:r>
          </w:p>
          <w:p w:rsidR="00D04B03" w:rsidRPr="00A646A4" w:rsidRDefault="00D04B03" w:rsidP="00B44793">
            <w:pPr>
              <w:spacing w:before="60" w:after="60"/>
              <w:ind w:firstLine="210"/>
              <w:jc w:val="both"/>
              <w:rPr>
                <w:color w:val="FF0000"/>
              </w:rPr>
            </w:pPr>
            <w:r w:rsidRPr="00A646A4">
              <w:t xml:space="preserve">2. Người cao tuổi thọ 80, 85 tuổi: </w:t>
            </w:r>
            <w:r w:rsidRPr="00A646A4">
              <w:rPr>
                <w:b/>
                <w:color w:val="FF0000"/>
              </w:rPr>
              <w:t>600.000 đồng/người</w:t>
            </w:r>
            <w:r w:rsidRPr="00A646A4">
              <w:rPr>
                <w:color w:val="FF0000"/>
              </w:rPr>
              <w:t>.</w:t>
            </w:r>
          </w:p>
          <w:p w:rsidR="00D04B03" w:rsidRPr="00A646A4" w:rsidRDefault="00D04B03" w:rsidP="00B44793">
            <w:pPr>
              <w:spacing w:before="60" w:after="60"/>
              <w:ind w:firstLine="210"/>
              <w:jc w:val="both"/>
            </w:pPr>
            <w:r w:rsidRPr="00A646A4">
              <w:t xml:space="preserve">3. Người cao tuổi thọ 90 tuổi: </w:t>
            </w:r>
            <w:r w:rsidRPr="00A646A4">
              <w:rPr>
                <w:b/>
                <w:color w:val="FF0000"/>
              </w:rPr>
              <w:t>700.000 đồng/người</w:t>
            </w:r>
            <w:r w:rsidRPr="00A646A4">
              <w:t xml:space="preserve"> và 5 mét vải lụa. </w:t>
            </w:r>
          </w:p>
          <w:p w:rsidR="00D04B03" w:rsidRPr="00A646A4" w:rsidRDefault="00D04B03" w:rsidP="00B44793">
            <w:pPr>
              <w:spacing w:before="60" w:after="60"/>
              <w:ind w:firstLine="210"/>
              <w:jc w:val="both"/>
            </w:pPr>
            <w:r w:rsidRPr="00A646A4">
              <w:t xml:space="preserve">4. Người cao tuổi thọ 95 tuổi: </w:t>
            </w:r>
            <w:r w:rsidRPr="00A646A4">
              <w:rPr>
                <w:b/>
                <w:color w:val="FF0000"/>
              </w:rPr>
              <w:t>800.000 đồng/người</w:t>
            </w:r>
            <w:r w:rsidRPr="00A646A4">
              <w:t xml:space="preserve"> và 5 mét vài lụa. </w:t>
            </w:r>
          </w:p>
          <w:p w:rsidR="00D04B03" w:rsidRPr="00A646A4" w:rsidRDefault="00D04B03" w:rsidP="00B44793">
            <w:pPr>
              <w:spacing w:before="60" w:after="60"/>
              <w:ind w:firstLine="210"/>
              <w:jc w:val="both"/>
            </w:pPr>
            <w:r w:rsidRPr="00A646A4">
              <w:t xml:space="preserve">5. Người cao tuổi thọ 100 tuổi: </w:t>
            </w:r>
            <w:r w:rsidRPr="00A646A4">
              <w:rPr>
                <w:b/>
                <w:color w:val="FF0000"/>
              </w:rPr>
              <w:t>1.200.000 đồng/người</w:t>
            </w:r>
            <w:r w:rsidRPr="00A646A4">
              <w:t xml:space="preserve"> và 5 mét vải lụa. </w:t>
            </w:r>
          </w:p>
          <w:p w:rsidR="00D04B03" w:rsidRPr="00A646A4" w:rsidRDefault="00D04B03" w:rsidP="00B44793">
            <w:pPr>
              <w:spacing w:before="60" w:after="60"/>
              <w:ind w:firstLine="210"/>
              <w:jc w:val="both"/>
              <w:rPr>
                <w:color w:val="FF0000"/>
              </w:rPr>
            </w:pPr>
            <w:r w:rsidRPr="00A646A4">
              <w:t xml:space="preserve">6. Người cao tuổi thọ trên 100 tuổi hàng năm được tặng </w:t>
            </w:r>
            <w:r w:rsidRPr="00A646A4">
              <w:rPr>
                <w:b/>
                <w:color w:val="FF0000"/>
              </w:rPr>
              <w:t>1.200.000 đồng/người</w:t>
            </w:r>
            <w:r w:rsidRPr="00A646A4">
              <w:rPr>
                <w:color w:val="FF0000"/>
              </w:rPr>
              <w:t>.</w:t>
            </w:r>
          </w:p>
          <w:p w:rsidR="00D04B03" w:rsidRPr="00A646A4" w:rsidRDefault="00D04B03" w:rsidP="00B44793">
            <w:pPr>
              <w:spacing w:before="60" w:after="60"/>
              <w:ind w:firstLine="210"/>
              <w:jc w:val="both"/>
              <w:rPr>
                <w:b/>
              </w:rPr>
            </w:pPr>
          </w:p>
        </w:tc>
        <w:tc>
          <w:tcPr>
            <w:tcW w:w="4536" w:type="dxa"/>
            <w:shd w:val="clear" w:color="auto" w:fill="auto"/>
            <w:vAlign w:val="center"/>
          </w:tcPr>
          <w:p w:rsidR="00B44793" w:rsidRPr="00A646A4" w:rsidRDefault="00D04B03" w:rsidP="00B44793">
            <w:pPr>
              <w:spacing w:before="60" w:after="60"/>
              <w:ind w:firstLine="210"/>
              <w:jc w:val="both"/>
            </w:pPr>
            <w:r w:rsidRPr="00A646A4">
              <w:t xml:space="preserve">Áp dụng kế thừa độ tuổi người cao tuổi được tặng quà và vải lụa tại </w:t>
            </w:r>
            <w:r w:rsidRPr="00A646A4">
              <w:rPr>
                <w:color w:val="000000"/>
              </w:rPr>
              <w:t>Nghị quyết số 12/2022/NQ-HĐND. Tuy nhiên, dự thảo Nghị quyết đề xuất tăng mức hỗ trợ bằng tiền mặt đối với người cao tuổi ở các độ tuổi được chúc thọ.</w:t>
            </w:r>
            <w:r w:rsidR="00B44793" w:rsidRPr="00A646A4">
              <w:rPr>
                <w:color w:val="000000"/>
              </w:rPr>
              <w:t xml:space="preserve"> </w:t>
            </w:r>
            <w:r w:rsidRPr="00A646A4">
              <w:t xml:space="preserve">Việc điều chỉnh </w:t>
            </w:r>
            <w:r w:rsidR="00B44793" w:rsidRPr="00A646A4">
              <w:t>này</w:t>
            </w:r>
            <w:r w:rsidRPr="00A646A4">
              <w:t xml:space="preserve"> là cần thiết và </w:t>
            </w:r>
            <w:r w:rsidR="00B44793" w:rsidRPr="00A646A4">
              <w:t>phù hợp với điều kiện thực tiễn, cụ thể:</w:t>
            </w:r>
          </w:p>
          <w:p w:rsidR="00B44793" w:rsidRPr="00A646A4" w:rsidRDefault="00B44793" w:rsidP="00B44793">
            <w:pPr>
              <w:spacing w:before="60" w:after="60"/>
              <w:ind w:firstLine="210"/>
              <w:jc w:val="both"/>
            </w:pPr>
            <w:r w:rsidRPr="00A646A4">
              <w:t xml:space="preserve">- </w:t>
            </w:r>
            <w:r w:rsidR="00D04B03" w:rsidRPr="00A646A4">
              <w:t xml:space="preserve">Sau thời gian triển khai thực hiện Nghị quyết số 12/2022/NQ-HĐND, </w:t>
            </w:r>
            <w:r w:rsidRPr="00A646A4">
              <w:t>biến động cảu</w:t>
            </w:r>
            <w:r w:rsidR="00D04B03" w:rsidRPr="00A646A4">
              <w:t xml:space="preserve"> chỉ số giá tiêu dùng và mức sống đã</w:t>
            </w:r>
            <w:r w:rsidRPr="00A646A4">
              <w:t xml:space="preserve"> làm</w:t>
            </w:r>
            <w:r w:rsidR="00D04B03" w:rsidRPr="00A646A4">
              <w:t xml:space="preserve"> giảm dần giá trị thực tế</w:t>
            </w:r>
            <w:r w:rsidRPr="00A646A4">
              <w:t xml:space="preserve"> của mức quà tặng hiện hành</w:t>
            </w:r>
            <w:r w:rsidR="00D04B03" w:rsidRPr="00A646A4">
              <w:t xml:space="preserve">; do đó, việc </w:t>
            </w:r>
            <w:r w:rsidRPr="00A646A4">
              <w:t>nâng mức hỗ trợ</w:t>
            </w:r>
            <w:r w:rsidR="00D04B03" w:rsidRPr="00A646A4">
              <w:t xml:space="preserve"> nhằm bảo đảm tính tương xứng</w:t>
            </w:r>
            <w:r w:rsidRPr="00A646A4">
              <w:t>. thiết thực</w:t>
            </w:r>
            <w:r w:rsidR="00D04B03" w:rsidRPr="00A646A4">
              <w:t xml:space="preserve"> và ý nghĩa của chính sách. </w:t>
            </w:r>
          </w:p>
          <w:p w:rsidR="00D04B03" w:rsidRPr="00A646A4" w:rsidRDefault="00B44793" w:rsidP="00B44793">
            <w:pPr>
              <w:spacing w:before="60" w:after="60"/>
              <w:ind w:firstLine="210"/>
              <w:jc w:val="both"/>
            </w:pPr>
            <w:r w:rsidRPr="00A646A4">
              <w:t xml:space="preserve">- Mức hỗ trợ mới </w:t>
            </w:r>
            <w:r w:rsidR="00D04B03" w:rsidRPr="00A646A4">
              <w:t xml:space="preserve">thể hiện sự quan tâm của Đảng, Nhà nước và xã hội đối với </w:t>
            </w:r>
            <w:r w:rsidRPr="00A646A4">
              <w:t xml:space="preserve">những đóng góp của </w:t>
            </w:r>
            <w:r w:rsidR="00D04B03" w:rsidRPr="00A646A4">
              <w:t>người cao tuổi</w:t>
            </w:r>
            <w:r w:rsidRPr="00A646A4">
              <w:t>. Đồng thời,</w:t>
            </w:r>
            <w:r w:rsidR="00D04B03" w:rsidRPr="00A646A4">
              <w:t xml:space="preserve"> động viên, khích lệ người cao tuổi sống vui, sống khỏe, sống có ích, qua đó nâng cao đời sống tinh thần và phát huy vai trò của người cao tuổi trong gia đình và cộng đồng.</w:t>
            </w:r>
          </w:p>
        </w:tc>
      </w:tr>
      <w:tr w:rsidR="00A167C7" w:rsidRPr="00F43930" w:rsidTr="00F43930">
        <w:tc>
          <w:tcPr>
            <w:tcW w:w="4962" w:type="dxa"/>
            <w:shd w:val="clear" w:color="auto" w:fill="auto"/>
            <w:vAlign w:val="center"/>
          </w:tcPr>
          <w:p w:rsidR="00AA7791" w:rsidRPr="00A646A4" w:rsidRDefault="00AA7791" w:rsidP="00EA7762">
            <w:pPr>
              <w:spacing w:before="60" w:after="60"/>
              <w:ind w:right="28" w:firstLine="176"/>
              <w:jc w:val="both"/>
              <w:rPr>
                <w:b/>
              </w:rPr>
            </w:pPr>
            <w:r w:rsidRPr="00A646A4">
              <w:rPr>
                <w:b/>
              </w:rPr>
              <w:lastRenderedPageBreak/>
              <w:t xml:space="preserve">Điều 2. Nguồn kinh phí thực hiện </w:t>
            </w:r>
          </w:p>
          <w:p w:rsidR="00AA7791" w:rsidRPr="00A646A4" w:rsidRDefault="00AA7791" w:rsidP="00EA7762">
            <w:pPr>
              <w:spacing w:before="60" w:after="60"/>
              <w:ind w:right="28" w:firstLine="176"/>
              <w:jc w:val="both"/>
            </w:pPr>
            <w:r w:rsidRPr="00A646A4">
              <w:t xml:space="preserve">1. Kinh phí chúc thọ và tặng quà người cao tuổi thọ 90 tuổi và 100 tuổi được bố trí trong dự toán chi thường xuyên hàng năm của Sở Lao động - Thương binh và Xã hội. </w:t>
            </w:r>
          </w:p>
          <w:p w:rsidR="00A167C7" w:rsidRPr="00A646A4" w:rsidRDefault="00AA7791" w:rsidP="00EA7762">
            <w:pPr>
              <w:spacing w:before="60" w:after="60"/>
              <w:ind w:right="28" w:firstLine="176"/>
              <w:jc w:val="both"/>
            </w:pPr>
            <w:r w:rsidRPr="00A646A4">
              <w:t>2. Kinh phí chúc thọ và tặng quà người cao tuổi thọ 70, 75, 80, 85, 95 và trên 100 tuổi được bố trí trong dự toán chi thường xuyên hàng năm của Ủy ban nhân dân cấp huyện để bố trí cho cơ quan, đơn vị được giao nhiệm vụ tặng quà cho người cao tuổi theo phân cấp của địa phương.</w:t>
            </w:r>
          </w:p>
        </w:tc>
        <w:tc>
          <w:tcPr>
            <w:tcW w:w="4819" w:type="dxa"/>
            <w:shd w:val="clear" w:color="auto" w:fill="auto"/>
            <w:vAlign w:val="center"/>
          </w:tcPr>
          <w:p w:rsidR="00662527" w:rsidRPr="00A646A4" w:rsidRDefault="000039EC" w:rsidP="00EA7762">
            <w:pPr>
              <w:spacing w:before="60" w:after="60"/>
              <w:ind w:right="28" w:firstLine="176"/>
              <w:jc w:val="both"/>
              <w:rPr>
                <w:b/>
              </w:rPr>
            </w:pPr>
            <w:r w:rsidRPr="00A646A4">
              <w:rPr>
                <w:b/>
              </w:rPr>
              <w:t>Điều 3. Nguồn kinh phí thực hiện</w:t>
            </w:r>
          </w:p>
          <w:p w:rsidR="00662527" w:rsidRPr="00A646A4" w:rsidRDefault="00662527" w:rsidP="00EA7762">
            <w:pPr>
              <w:spacing w:before="60" w:after="60"/>
              <w:ind w:right="28" w:firstLine="176"/>
              <w:jc w:val="both"/>
              <w:rPr>
                <w:color w:val="FF0000"/>
              </w:rPr>
            </w:pPr>
            <w:r w:rsidRPr="00A646A4">
              <w:rPr>
                <w:color w:val="FF0000"/>
              </w:rPr>
              <w:t>Nguồn kinh phí thực hiện được bố trí trong dự toán hằng năm của các cơ quan, đơn vị, địa phương theo quy định về phân cấp ngân sách nhà nước hiện hành.</w:t>
            </w:r>
          </w:p>
          <w:p w:rsidR="000039EC" w:rsidRPr="00A646A4" w:rsidRDefault="000039EC" w:rsidP="00EA7762">
            <w:pPr>
              <w:spacing w:before="60" w:after="60"/>
              <w:ind w:right="28" w:firstLine="176"/>
              <w:jc w:val="both"/>
              <w:rPr>
                <w:rFonts w:eastAsia="Calibri"/>
              </w:rPr>
            </w:pPr>
          </w:p>
        </w:tc>
        <w:tc>
          <w:tcPr>
            <w:tcW w:w="4536" w:type="dxa"/>
            <w:shd w:val="clear" w:color="auto" w:fill="auto"/>
            <w:vAlign w:val="center"/>
          </w:tcPr>
          <w:p w:rsidR="00AA68DE" w:rsidRPr="00A646A4" w:rsidRDefault="00AA68DE" w:rsidP="00EA7762">
            <w:pPr>
              <w:spacing w:before="60" w:after="60"/>
              <w:ind w:right="28" w:firstLine="176"/>
              <w:jc w:val="both"/>
            </w:pPr>
          </w:p>
          <w:p w:rsidR="00E06F07" w:rsidRPr="00A646A4" w:rsidRDefault="00EA7762" w:rsidP="00EA7762">
            <w:pPr>
              <w:spacing w:before="60" w:after="60"/>
              <w:ind w:right="28" w:firstLine="176"/>
              <w:jc w:val="both"/>
            </w:pPr>
            <w:r w:rsidRPr="00A646A4">
              <w:t xml:space="preserve">1. </w:t>
            </w:r>
            <w:r w:rsidR="005F0444" w:rsidRPr="00A646A4">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các sở được tổ chức thống nhất ở các địa phương</w:t>
            </w:r>
            <w:r w:rsidR="00203DC5" w:rsidRPr="00A646A4">
              <w:t>, theo đó</w:t>
            </w:r>
            <w:r w:rsidR="005F0444" w:rsidRPr="00A646A4">
              <w:t xml:space="preserve"> không còn Sở Lao động - Thương </w:t>
            </w:r>
            <w:r w:rsidR="00203DC5" w:rsidRPr="00A646A4">
              <w:t>binh và Xã hội và</w:t>
            </w:r>
            <w:r w:rsidR="005F0444" w:rsidRPr="00A646A4">
              <w:t xml:space="preserve"> chức năng quản lý nhà nước về lĩnh vực bảo trợ xã hội đã được chuyển sang cho Sở Y tế</w:t>
            </w:r>
            <w:r w:rsidR="0081465B" w:rsidRPr="00A646A4">
              <w:t xml:space="preserve">. Tuy nhiên, ở khoản 1 Điều 2 Nghị quyết số 12/2022/NQ-HĐND có nội dung </w:t>
            </w:r>
            <w:r w:rsidR="0081465B" w:rsidRPr="00A646A4">
              <w:rPr>
                <w:i/>
              </w:rPr>
              <w:t>“…dự toán chi thường xuyên hàng năm của Sở Lao động - Thương binh và Xã hội”</w:t>
            </w:r>
            <w:r w:rsidR="0081465B" w:rsidRPr="00A646A4">
              <w:t>. Vì vậy,</w:t>
            </w:r>
            <w:r w:rsidR="005F0444" w:rsidRPr="00A646A4">
              <w:t xml:space="preserve"> </w:t>
            </w:r>
            <w:r w:rsidR="005D220D" w:rsidRPr="00A646A4">
              <w:t xml:space="preserve">nội dung ở khoản 1 Điều 2 Nghị quyết số 12/2022/NQ-HĐND cần phải điều chỉnh lại </w:t>
            </w:r>
            <w:r w:rsidR="00E06F07" w:rsidRPr="00A646A4">
              <w:t>cho phù hợp.</w:t>
            </w:r>
          </w:p>
          <w:p w:rsidR="00D9348F" w:rsidRPr="00A646A4" w:rsidRDefault="00EA7762" w:rsidP="00EA7762">
            <w:pPr>
              <w:spacing w:before="60" w:after="60"/>
              <w:ind w:right="28" w:firstLine="176"/>
              <w:jc w:val="both"/>
            </w:pPr>
            <w:r w:rsidRPr="00A646A4">
              <w:t>2</w:t>
            </w:r>
            <w:r w:rsidR="0071096E" w:rsidRPr="00A646A4">
              <w:t>.</w:t>
            </w:r>
            <w:r w:rsidR="00D9348F" w:rsidRPr="00A646A4">
              <w:t xml:space="preserve"> Căn cứ Luật Tổ chức chính quyền địa phương ngày 16/6/2025, hiện nay chỉ có mô hình chính quyền địa phương 02 cấp, gồm cấp tỉnh, cấp xã. Tuy nhiên, ở khoản 2 Điều 2 Nghị quyết số 12/2022/NQ-HĐND có nội dung </w:t>
            </w:r>
            <w:r w:rsidR="00D9348F" w:rsidRPr="00A646A4">
              <w:rPr>
                <w:i/>
              </w:rPr>
              <w:t xml:space="preserve">“…dự toán chi </w:t>
            </w:r>
            <w:r w:rsidR="00D9348F" w:rsidRPr="00A646A4">
              <w:rPr>
                <w:i/>
              </w:rPr>
              <w:lastRenderedPageBreak/>
              <w:t>thường xuyên hàng năm của Ủy ban nhân dân cấp huyện để….</w:t>
            </w:r>
            <w:r w:rsidR="00974BBD" w:rsidRPr="00A646A4">
              <w:rPr>
                <w:i/>
              </w:rPr>
              <w:t>”</w:t>
            </w:r>
          </w:p>
          <w:p w:rsidR="00E06F07" w:rsidRPr="00A646A4" w:rsidRDefault="00D9348F" w:rsidP="00EA7762">
            <w:pPr>
              <w:spacing w:before="60" w:after="60"/>
              <w:ind w:right="28" w:firstLine="176"/>
              <w:jc w:val="both"/>
            </w:pPr>
            <w:r w:rsidRPr="00A646A4">
              <w:t xml:space="preserve">Để đảm bảo phù hợp với </w:t>
            </w:r>
            <w:r w:rsidR="005D220D" w:rsidRPr="00A646A4">
              <w:t xml:space="preserve">Luật </w:t>
            </w:r>
            <w:r w:rsidRPr="00A646A4">
              <w:t xml:space="preserve">tổ chức chính quyền địa phương hiện nay và quy định tại điểm b khoản 2 Điều 3 Thông tư số </w:t>
            </w:r>
            <w:r w:rsidR="005D220D" w:rsidRPr="00A646A4">
              <w:t xml:space="preserve">96/2018/TT-BTC ngày 18/10/2018 của Bộ Tài chính quy định quản lý và sử dụng kinh phí chăm sóc sức khỏe ban đầu cho người cao tuổi tại nơi cư trú; chúc thọ, mừng thọ người cao tuổi; ưu đãi tín dụng và biểu dương người cao tuổi, cần phải điều chỉnh </w:t>
            </w:r>
            <w:r w:rsidR="00544BC1" w:rsidRPr="00A646A4">
              <w:t xml:space="preserve">nội dung ở khoản 2 Điều 2 Nghị quyết số 12/2022/NQ-HĐND lại </w:t>
            </w:r>
            <w:r w:rsidR="00E06F07" w:rsidRPr="00A646A4">
              <w:t>cho phù hợp.</w:t>
            </w:r>
          </w:p>
          <w:p w:rsidR="00A167C7" w:rsidRPr="00A646A4" w:rsidRDefault="00EA7762" w:rsidP="00F01A1B">
            <w:pPr>
              <w:spacing w:before="60" w:after="60"/>
              <w:ind w:right="28" w:firstLine="176"/>
              <w:jc w:val="both"/>
            </w:pPr>
            <w:r w:rsidRPr="00A646A4">
              <w:t>Từ hai lý do trên</w:t>
            </w:r>
            <w:r w:rsidR="004B1103" w:rsidRPr="00A646A4">
              <w:t>,</w:t>
            </w:r>
            <w:r w:rsidRPr="00A646A4">
              <w:t xml:space="preserve"> đã điều chỉnh Điều 2 </w:t>
            </w:r>
            <w:r w:rsidRPr="00A646A4">
              <w:rPr>
                <w:color w:val="000000"/>
              </w:rPr>
              <w:t>Nghị quyết số 12/2022/NQ-HĐND</w:t>
            </w:r>
            <w:r w:rsidRPr="00A646A4">
              <w:rPr>
                <w:color w:val="000000"/>
              </w:rPr>
              <w:t xml:space="preserve"> thành Điều 3 dự thảo Nghị quyết thay thế</w:t>
            </w:r>
            <w:r w:rsidR="00F01A1B">
              <w:rPr>
                <w:iCs/>
                <w:lang w:val="nb-NO"/>
              </w:rPr>
              <w:t xml:space="preserve">. </w:t>
            </w:r>
            <w:r w:rsidR="00F01A1B" w:rsidRPr="00B356D7">
              <w:rPr>
                <w:iCs/>
                <w:lang w:val="nb-NO"/>
              </w:rPr>
              <w:t>Quy định này được xây dựng trên cơ sở kế thừa tinh thần điểm b khoản 2 Điều 3 Thông tư số 96/2018/TT-BTC, đồng thời được điều chỉnh để đảm bảo phù hợp với Luật Ngân sách nhà nước và thống nhất với cơ chế phân cấp ngân sách hiện hành.</w:t>
            </w:r>
            <w:bookmarkStart w:id="1" w:name="_GoBack"/>
            <w:bookmarkEnd w:id="1"/>
          </w:p>
        </w:tc>
      </w:tr>
      <w:tr w:rsidR="00AA7791" w:rsidRPr="00F43930" w:rsidTr="00F43930">
        <w:tc>
          <w:tcPr>
            <w:tcW w:w="4962" w:type="dxa"/>
            <w:shd w:val="clear" w:color="auto" w:fill="auto"/>
            <w:vAlign w:val="center"/>
          </w:tcPr>
          <w:p w:rsidR="00AA7791" w:rsidRPr="00A646A4" w:rsidRDefault="00AA7791" w:rsidP="00EA7762">
            <w:pPr>
              <w:spacing w:before="60" w:after="60"/>
              <w:ind w:right="28" w:firstLine="176"/>
              <w:jc w:val="both"/>
            </w:pPr>
          </w:p>
        </w:tc>
        <w:tc>
          <w:tcPr>
            <w:tcW w:w="4819" w:type="dxa"/>
            <w:shd w:val="clear" w:color="auto" w:fill="auto"/>
            <w:vAlign w:val="center"/>
          </w:tcPr>
          <w:p w:rsidR="00AA68DE" w:rsidRPr="00A646A4" w:rsidRDefault="000039EC" w:rsidP="00EA7762">
            <w:pPr>
              <w:spacing w:before="60" w:after="60"/>
              <w:ind w:right="28" w:firstLine="176"/>
              <w:jc w:val="both"/>
              <w:rPr>
                <w:b/>
              </w:rPr>
            </w:pPr>
            <w:r w:rsidRPr="00A646A4">
              <w:rPr>
                <w:b/>
              </w:rPr>
              <w:t xml:space="preserve">Điều 4. </w:t>
            </w:r>
            <w:r w:rsidR="00AA68DE" w:rsidRPr="00A646A4">
              <w:rPr>
                <w:b/>
              </w:rPr>
              <w:t>Điều khoản thi hành</w:t>
            </w:r>
          </w:p>
          <w:p w:rsidR="00AA68DE" w:rsidRPr="00A646A4" w:rsidRDefault="00AA68DE" w:rsidP="00EA7762">
            <w:pPr>
              <w:spacing w:before="60" w:after="60"/>
              <w:ind w:right="28" w:firstLine="176"/>
              <w:jc w:val="both"/>
            </w:pPr>
            <w:r w:rsidRPr="00A646A4">
              <w:t>1. Nghị quyết này có hiệu lực từ ngày … tháng …. năm 2026.</w:t>
            </w:r>
          </w:p>
          <w:p w:rsidR="00AA7791" w:rsidRPr="00A646A4" w:rsidRDefault="00AA68DE" w:rsidP="00EA7762">
            <w:pPr>
              <w:spacing w:before="60" w:after="60"/>
              <w:ind w:right="28" w:firstLine="176"/>
              <w:jc w:val="both"/>
            </w:pPr>
            <w:r w:rsidRPr="00A646A4">
              <w:t xml:space="preserve">2. Nghị quyết này thay thế Nghị quyết số 12/2022/NQ-HDĐND ngày 14 tháng 7 </w:t>
            </w:r>
            <w:r w:rsidRPr="00A646A4">
              <w:lastRenderedPageBreak/>
              <w:t>năm 2022 của Hội đồng nhân dân tỉnh Thừa Thiên Huế quy định mức quà tặng chúc thọ, mừng thọ người cao tuổi trên địa bàn thành phố Huế.</w:t>
            </w:r>
          </w:p>
        </w:tc>
        <w:tc>
          <w:tcPr>
            <w:tcW w:w="4536" w:type="dxa"/>
            <w:shd w:val="clear" w:color="auto" w:fill="auto"/>
            <w:vAlign w:val="center"/>
          </w:tcPr>
          <w:p w:rsidR="00AA68DE" w:rsidRPr="00A646A4" w:rsidRDefault="004B1103" w:rsidP="00EA7762">
            <w:pPr>
              <w:spacing w:before="60" w:after="60"/>
              <w:ind w:right="28" w:firstLine="176"/>
              <w:jc w:val="both"/>
              <w:rPr>
                <w:color w:val="000000"/>
              </w:rPr>
            </w:pPr>
            <w:r w:rsidRPr="00A646A4">
              <w:rPr>
                <w:color w:val="000000"/>
              </w:rPr>
              <w:lastRenderedPageBreak/>
              <w:t xml:space="preserve">Bổ sung thêm Điều 4 nhằm </w:t>
            </w:r>
            <w:r w:rsidR="00AA68DE" w:rsidRPr="00A646A4">
              <w:rPr>
                <w:color w:val="000000"/>
              </w:rPr>
              <w:t>bảo đảm tính thống nhất, đồng bộ trong hệ thống văn bản quy phạm pháp luật.</w:t>
            </w:r>
          </w:p>
          <w:p w:rsidR="00AA68DE" w:rsidRPr="00A646A4" w:rsidRDefault="00AA68DE" w:rsidP="00EA7762">
            <w:pPr>
              <w:spacing w:before="60" w:after="60"/>
              <w:ind w:right="28" w:firstLine="176"/>
              <w:jc w:val="both"/>
            </w:pPr>
          </w:p>
        </w:tc>
      </w:tr>
      <w:tr w:rsidR="00AA7791" w:rsidRPr="00F43930" w:rsidTr="00F43930">
        <w:tc>
          <w:tcPr>
            <w:tcW w:w="4962" w:type="dxa"/>
            <w:shd w:val="clear" w:color="auto" w:fill="auto"/>
            <w:vAlign w:val="center"/>
          </w:tcPr>
          <w:p w:rsidR="004B1103" w:rsidRPr="00A646A4" w:rsidRDefault="004B1103" w:rsidP="004B1103">
            <w:pPr>
              <w:spacing w:before="60" w:after="60"/>
              <w:ind w:right="28" w:firstLine="176"/>
              <w:jc w:val="both"/>
              <w:rPr>
                <w:b/>
              </w:rPr>
            </w:pPr>
            <w:r w:rsidRPr="00A646A4">
              <w:rPr>
                <w:b/>
              </w:rPr>
              <w:lastRenderedPageBreak/>
              <w:t xml:space="preserve">Điều 3. Tổ chức thực hiện </w:t>
            </w:r>
          </w:p>
          <w:p w:rsidR="004B1103" w:rsidRPr="00A646A4" w:rsidRDefault="004B1103" w:rsidP="004B1103">
            <w:pPr>
              <w:spacing w:before="60" w:after="60"/>
              <w:ind w:right="28" w:firstLine="176"/>
              <w:jc w:val="both"/>
            </w:pPr>
            <w:r w:rsidRPr="00A646A4">
              <w:t xml:space="preserve">1. Giao Ủy ban nhân dân tỉnh tổ chức triển khai thực hiện Nghị quyết; </w:t>
            </w:r>
          </w:p>
          <w:p w:rsidR="00AA7791" w:rsidRPr="00A646A4" w:rsidRDefault="004B1103" w:rsidP="004B1103">
            <w:pPr>
              <w:spacing w:before="60" w:after="60"/>
              <w:ind w:right="28" w:firstLine="176"/>
              <w:jc w:val="both"/>
            </w:pPr>
            <w:r w:rsidRPr="00A646A4">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tc>
        <w:tc>
          <w:tcPr>
            <w:tcW w:w="4819" w:type="dxa"/>
            <w:shd w:val="clear" w:color="auto" w:fill="auto"/>
            <w:vAlign w:val="center"/>
          </w:tcPr>
          <w:p w:rsidR="00AA68DE" w:rsidRPr="00A646A4" w:rsidRDefault="00AA7791" w:rsidP="00EA7762">
            <w:pPr>
              <w:spacing w:before="60" w:after="60"/>
              <w:ind w:right="28" w:firstLine="176"/>
              <w:jc w:val="both"/>
              <w:rPr>
                <w:b/>
              </w:rPr>
            </w:pPr>
            <w:r w:rsidRPr="00A646A4">
              <w:rPr>
                <w:b/>
              </w:rPr>
              <w:t xml:space="preserve">Điều 5. </w:t>
            </w:r>
            <w:r w:rsidR="00AA68DE" w:rsidRPr="00A646A4">
              <w:rPr>
                <w:b/>
              </w:rPr>
              <w:t>Tổ chức thực hiện</w:t>
            </w:r>
          </w:p>
          <w:p w:rsidR="00AA68DE" w:rsidRPr="00A646A4" w:rsidRDefault="00AA68DE" w:rsidP="00EA7762">
            <w:pPr>
              <w:spacing w:before="60" w:after="60"/>
              <w:ind w:right="28" w:firstLine="176"/>
              <w:jc w:val="both"/>
            </w:pPr>
            <w:r w:rsidRPr="00A646A4">
              <w:t>1. Giao Ủy ban nhân dân thành phố triển khai thực hiện Nghị quyết.</w:t>
            </w:r>
          </w:p>
          <w:p w:rsidR="00AA68DE" w:rsidRPr="00A646A4" w:rsidRDefault="00AA68DE" w:rsidP="00EA7762">
            <w:pPr>
              <w:spacing w:before="60" w:after="60"/>
              <w:ind w:right="28" w:firstLine="176"/>
              <w:jc w:val="both"/>
              <w:rPr>
                <w:iCs/>
              </w:rPr>
            </w:pPr>
            <w:r w:rsidRPr="00A646A4">
              <w:t xml:space="preserve">2. Giao Thường trực Hội đồng nhân dân, các Ban Hội đồng nhân dân, Tổ đại biểu và các đại biểu Hội đồng nhân dân thành phố </w:t>
            </w:r>
            <w:r w:rsidRPr="00A646A4">
              <w:rPr>
                <w:color w:val="000000"/>
              </w:rPr>
              <w:t>trong phạm vi, nhiệm vụ, quyền hạn giám sát việc triển khai thực hiện Nghị quyết</w:t>
            </w:r>
            <w:r w:rsidRPr="00A646A4">
              <w:rPr>
                <w:iCs/>
              </w:rPr>
              <w:t>.</w:t>
            </w:r>
          </w:p>
          <w:p w:rsidR="00AA7791" w:rsidRPr="00A646A4" w:rsidRDefault="00AA7791" w:rsidP="00EA7762">
            <w:pPr>
              <w:spacing w:before="60" w:after="60"/>
              <w:ind w:right="28" w:firstLine="176"/>
              <w:jc w:val="both"/>
              <w:rPr>
                <w:i/>
              </w:rPr>
            </w:pPr>
            <w:r w:rsidRPr="00A646A4">
              <w:rPr>
                <w:i/>
              </w:rPr>
              <w:t>Nghị quyết này được Hội đồng nhân dân thành phố Khoá I</w:t>
            </w:r>
            <w:r w:rsidR="00C82391" w:rsidRPr="00A646A4">
              <w:rPr>
                <w:i/>
              </w:rPr>
              <w:t>X</w:t>
            </w:r>
            <w:r w:rsidRPr="00A646A4">
              <w:rPr>
                <w:i/>
              </w:rPr>
              <w:t xml:space="preserve"> Kỳ họp …. thông qua ngày …. tháng …. năm 202</w:t>
            </w:r>
            <w:r w:rsidR="00C82391" w:rsidRPr="00A646A4">
              <w:rPr>
                <w:i/>
              </w:rPr>
              <w:t>6</w:t>
            </w:r>
            <w:r w:rsidRPr="00A646A4">
              <w:rPr>
                <w:i/>
              </w:rPr>
              <w:t>./.</w:t>
            </w:r>
          </w:p>
        </w:tc>
        <w:tc>
          <w:tcPr>
            <w:tcW w:w="4536" w:type="dxa"/>
            <w:shd w:val="clear" w:color="auto" w:fill="auto"/>
            <w:vAlign w:val="center"/>
          </w:tcPr>
          <w:p w:rsidR="00AA68DE" w:rsidRPr="00A646A4" w:rsidRDefault="00AA68DE" w:rsidP="00EA7762">
            <w:pPr>
              <w:spacing w:before="60" w:after="60"/>
              <w:ind w:right="28" w:firstLine="176"/>
              <w:jc w:val="both"/>
            </w:pPr>
            <w:r w:rsidRPr="00A646A4">
              <w:t xml:space="preserve">Ngày 30/11/2024, Quốc hội ban hành Nghị quyết số 175/2024/QH15 về việc thành lập thành phố Huế trực thuộc trung ương. Theo đó, tại khoản 1, khoản 2 Điều 3 Nghị quyết số 12/2022/NQ-HĐND cần phải điều chỉnh lại như khoản 1, khoản 2 Điều </w:t>
            </w:r>
            <w:r w:rsidRPr="00A646A4">
              <w:t>5</w:t>
            </w:r>
            <w:r w:rsidRPr="00A646A4">
              <w:t xml:space="preserve"> của dự thảo Nghị quyết thay thế.</w:t>
            </w:r>
          </w:p>
          <w:p w:rsidR="00AA68DE" w:rsidRPr="00A646A4" w:rsidRDefault="00AA68DE" w:rsidP="00EA7762">
            <w:pPr>
              <w:spacing w:before="60" w:after="60"/>
              <w:ind w:right="28" w:firstLine="176"/>
              <w:jc w:val="both"/>
            </w:pPr>
          </w:p>
          <w:p w:rsidR="00AA7791" w:rsidRPr="00A646A4" w:rsidRDefault="00AA68DE" w:rsidP="00EA7762">
            <w:pPr>
              <w:spacing w:line="320" w:lineRule="exact"/>
              <w:ind w:right="28" w:firstLine="176"/>
              <w:jc w:val="both"/>
            </w:pPr>
            <w:r w:rsidRPr="00A646A4">
              <w:rPr>
                <w:color w:val="000000"/>
              </w:rPr>
              <w:t>Việc quy định trách nhiệm tổ chức thực hiện nhằm phân công rõ trách nhiệm của Ủy ban nhân dân thành phố, các cơ quan chuyên môn, địa phương và các cơ quan giám sát trong quá trình triển khai thực hiện Nghị quyết; bảo đảm chính sách được thực hiện công khai, minh bạch, đúng đối tượng và hiệu quả.</w:t>
            </w:r>
          </w:p>
        </w:tc>
      </w:tr>
    </w:tbl>
    <w:p w:rsidR="00A8580C" w:rsidRDefault="00A8580C" w:rsidP="00B54E9B">
      <w:pPr>
        <w:spacing w:before="60" w:after="60"/>
        <w:ind w:firstLine="720"/>
        <w:jc w:val="both"/>
        <w:rPr>
          <w:color w:val="000000"/>
        </w:rPr>
      </w:pPr>
    </w:p>
    <w:p w:rsidR="00B96627" w:rsidRPr="00446E64" w:rsidRDefault="00B96627" w:rsidP="00B0481B">
      <w:pPr>
        <w:rPr>
          <w:rFonts w:eastAsia="MS Mincho"/>
          <w:iCs/>
          <w:color w:val="000000"/>
          <w:spacing w:val="-6"/>
          <w:sz w:val="20"/>
          <w:szCs w:val="28"/>
          <w:lang w:eastAsia="ja-JP"/>
        </w:rPr>
      </w:pPr>
    </w:p>
    <w:p w:rsidR="00D76A2F" w:rsidRPr="00446E64" w:rsidRDefault="00B0481B">
      <w:pPr>
        <w:rPr>
          <w:vanish/>
          <w:color w:val="000000"/>
        </w:rPr>
      </w:pPr>
      <w:r w:rsidRPr="00446E64">
        <w:rPr>
          <w:color w:val="000000"/>
        </w:rPr>
        <w:t xml:space="preserve"> </w:t>
      </w:r>
    </w:p>
    <w:p w:rsidR="00452A1B" w:rsidRPr="00446E64" w:rsidRDefault="00452A1B" w:rsidP="00AB20C7">
      <w:pPr>
        <w:tabs>
          <w:tab w:val="left" w:pos="7290"/>
        </w:tabs>
        <w:rPr>
          <w:vanish/>
          <w:color w:val="000000"/>
        </w:rPr>
      </w:pPr>
    </w:p>
    <w:p w:rsidR="00E4623C" w:rsidRPr="00446E64" w:rsidRDefault="00E4623C" w:rsidP="00AB20C7">
      <w:pPr>
        <w:tabs>
          <w:tab w:val="left" w:pos="7290"/>
        </w:tabs>
        <w:rPr>
          <w:vanish/>
          <w:color w:val="000000"/>
        </w:rPr>
      </w:pPr>
    </w:p>
    <w:sectPr w:rsidR="00E4623C" w:rsidRPr="00446E64" w:rsidSect="00A8580C">
      <w:pgSz w:w="16840" w:h="11907" w:orient="landscape" w:code="9"/>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7B" w:rsidRDefault="0053697B" w:rsidP="00452A1B">
      <w:r>
        <w:separator/>
      </w:r>
    </w:p>
  </w:endnote>
  <w:endnote w:type="continuationSeparator" w:id="0">
    <w:p w:rsidR="0053697B" w:rsidRDefault="0053697B" w:rsidP="0045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7B" w:rsidRDefault="0053697B" w:rsidP="00452A1B">
      <w:r>
        <w:separator/>
      </w:r>
    </w:p>
  </w:footnote>
  <w:footnote w:type="continuationSeparator" w:id="0">
    <w:p w:rsidR="0053697B" w:rsidRDefault="0053697B" w:rsidP="0045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7F"/>
    <w:rsid w:val="000039EC"/>
    <w:rsid w:val="0001190B"/>
    <w:rsid w:val="000158D5"/>
    <w:rsid w:val="00020192"/>
    <w:rsid w:val="00021193"/>
    <w:rsid w:val="00032946"/>
    <w:rsid w:val="000333F8"/>
    <w:rsid w:val="000401DE"/>
    <w:rsid w:val="000409FA"/>
    <w:rsid w:val="0005006A"/>
    <w:rsid w:val="000500A6"/>
    <w:rsid w:val="00053881"/>
    <w:rsid w:val="000609BD"/>
    <w:rsid w:val="000632B1"/>
    <w:rsid w:val="00063F9D"/>
    <w:rsid w:val="00064A18"/>
    <w:rsid w:val="000702E8"/>
    <w:rsid w:val="00080123"/>
    <w:rsid w:val="00083A46"/>
    <w:rsid w:val="00083A73"/>
    <w:rsid w:val="00092C71"/>
    <w:rsid w:val="00096CDC"/>
    <w:rsid w:val="000A09F2"/>
    <w:rsid w:val="000A3A73"/>
    <w:rsid w:val="000A619C"/>
    <w:rsid w:val="000A655F"/>
    <w:rsid w:val="000C6214"/>
    <w:rsid w:val="000D09C3"/>
    <w:rsid w:val="000D1C47"/>
    <w:rsid w:val="000D400C"/>
    <w:rsid w:val="000D6D7D"/>
    <w:rsid w:val="000D718F"/>
    <w:rsid w:val="000E0398"/>
    <w:rsid w:val="000F7CEE"/>
    <w:rsid w:val="00102600"/>
    <w:rsid w:val="00102F04"/>
    <w:rsid w:val="0011402D"/>
    <w:rsid w:val="0011461A"/>
    <w:rsid w:val="001217D9"/>
    <w:rsid w:val="00122775"/>
    <w:rsid w:val="001269A1"/>
    <w:rsid w:val="001322EA"/>
    <w:rsid w:val="00133C5C"/>
    <w:rsid w:val="001345DC"/>
    <w:rsid w:val="0013534B"/>
    <w:rsid w:val="00142894"/>
    <w:rsid w:val="00142BDE"/>
    <w:rsid w:val="001552FC"/>
    <w:rsid w:val="00156948"/>
    <w:rsid w:val="00156A8F"/>
    <w:rsid w:val="0016654F"/>
    <w:rsid w:val="00171B8D"/>
    <w:rsid w:val="00172631"/>
    <w:rsid w:val="0017515C"/>
    <w:rsid w:val="001757BF"/>
    <w:rsid w:val="0017589D"/>
    <w:rsid w:val="00180333"/>
    <w:rsid w:val="00185AD1"/>
    <w:rsid w:val="001947EF"/>
    <w:rsid w:val="00194867"/>
    <w:rsid w:val="001A0047"/>
    <w:rsid w:val="001A2454"/>
    <w:rsid w:val="001A2CFE"/>
    <w:rsid w:val="001A2EDD"/>
    <w:rsid w:val="001A3E7F"/>
    <w:rsid w:val="001B68B0"/>
    <w:rsid w:val="001D2BB4"/>
    <w:rsid w:val="001D2DE4"/>
    <w:rsid w:val="001D4429"/>
    <w:rsid w:val="001E0CCB"/>
    <w:rsid w:val="001E3ED1"/>
    <w:rsid w:val="001E7903"/>
    <w:rsid w:val="00200F8B"/>
    <w:rsid w:val="002014AE"/>
    <w:rsid w:val="00203DC5"/>
    <w:rsid w:val="0020684D"/>
    <w:rsid w:val="00207961"/>
    <w:rsid w:val="00212EB2"/>
    <w:rsid w:val="002148B1"/>
    <w:rsid w:val="00216D24"/>
    <w:rsid w:val="00217B54"/>
    <w:rsid w:val="00224486"/>
    <w:rsid w:val="002353BB"/>
    <w:rsid w:val="00237BBC"/>
    <w:rsid w:val="00240BCB"/>
    <w:rsid w:val="002465D4"/>
    <w:rsid w:val="00254EA4"/>
    <w:rsid w:val="002644B9"/>
    <w:rsid w:val="00265273"/>
    <w:rsid w:val="0027548A"/>
    <w:rsid w:val="002802FF"/>
    <w:rsid w:val="00280736"/>
    <w:rsid w:val="0028190D"/>
    <w:rsid w:val="00281BC5"/>
    <w:rsid w:val="0028271E"/>
    <w:rsid w:val="00284AED"/>
    <w:rsid w:val="002933A1"/>
    <w:rsid w:val="00295BB0"/>
    <w:rsid w:val="002A230C"/>
    <w:rsid w:val="002A4E66"/>
    <w:rsid w:val="002B17B4"/>
    <w:rsid w:val="002B25A3"/>
    <w:rsid w:val="002B31B6"/>
    <w:rsid w:val="002B36A4"/>
    <w:rsid w:val="002C5893"/>
    <w:rsid w:val="002D3309"/>
    <w:rsid w:val="002D5F53"/>
    <w:rsid w:val="002E3C7F"/>
    <w:rsid w:val="002F49ED"/>
    <w:rsid w:val="002F5E68"/>
    <w:rsid w:val="002F718E"/>
    <w:rsid w:val="0030480B"/>
    <w:rsid w:val="003060B1"/>
    <w:rsid w:val="00306C47"/>
    <w:rsid w:val="003132DD"/>
    <w:rsid w:val="003144F0"/>
    <w:rsid w:val="00314977"/>
    <w:rsid w:val="00315231"/>
    <w:rsid w:val="00321941"/>
    <w:rsid w:val="003275CC"/>
    <w:rsid w:val="00327600"/>
    <w:rsid w:val="00331E28"/>
    <w:rsid w:val="00345FB6"/>
    <w:rsid w:val="00350ED4"/>
    <w:rsid w:val="003739EA"/>
    <w:rsid w:val="003740A0"/>
    <w:rsid w:val="00375821"/>
    <w:rsid w:val="00376421"/>
    <w:rsid w:val="00383CF1"/>
    <w:rsid w:val="003A2B8A"/>
    <w:rsid w:val="003A4DE4"/>
    <w:rsid w:val="003A6ED6"/>
    <w:rsid w:val="003B0452"/>
    <w:rsid w:val="003B1442"/>
    <w:rsid w:val="003C0EFA"/>
    <w:rsid w:val="003C20B7"/>
    <w:rsid w:val="003C340C"/>
    <w:rsid w:val="003C6FCE"/>
    <w:rsid w:val="003D30AD"/>
    <w:rsid w:val="003E7955"/>
    <w:rsid w:val="00400F22"/>
    <w:rsid w:val="00402C34"/>
    <w:rsid w:val="004053DE"/>
    <w:rsid w:val="00405E3A"/>
    <w:rsid w:val="00412062"/>
    <w:rsid w:val="00414711"/>
    <w:rsid w:val="00424D7A"/>
    <w:rsid w:val="00426154"/>
    <w:rsid w:val="00426FF2"/>
    <w:rsid w:val="004308C6"/>
    <w:rsid w:val="004311FB"/>
    <w:rsid w:val="00434D79"/>
    <w:rsid w:val="00436D33"/>
    <w:rsid w:val="004379AD"/>
    <w:rsid w:val="00437B28"/>
    <w:rsid w:val="00444272"/>
    <w:rsid w:val="00444A02"/>
    <w:rsid w:val="00444E87"/>
    <w:rsid w:val="00446E64"/>
    <w:rsid w:val="00452A1B"/>
    <w:rsid w:val="00465182"/>
    <w:rsid w:val="00474D87"/>
    <w:rsid w:val="00477298"/>
    <w:rsid w:val="00487D86"/>
    <w:rsid w:val="004949C6"/>
    <w:rsid w:val="004978E5"/>
    <w:rsid w:val="004A0F61"/>
    <w:rsid w:val="004A4AAB"/>
    <w:rsid w:val="004B1103"/>
    <w:rsid w:val="004B238A"/>
    <w:rsid w:val="004B29CA"/>
    <w:rsid w:val="004B3F7D"/>
    <w:rsid w:val="004B5302"/>
    <w:rsid w:val="004B7905"/>
    <w:rsid w:val="004C4ADE"/>
    <w:rsid w:val="004C56B1"/>
    <w:rsid w:val="004D3955"/>
    <w:rsid w:val="004D41F2"/>
    <w:rsid w:val="004D65B2"/>
    <w:rsid w:val="004D6CE3"/>
    <w:rsid w:val="004E019F"/>
    <w:rsid w:val="004E5960"/>
    <w:rsid w:val="004E632E"/>
    <w:rsid w:val="004F0882"/>
    <w:rsid w:val="00501C5D"/>
    <w:rsid w:val="00505938"/>
    <w:rsid w:val="00511C0C"/>
    <w:rsid w:val="00513B5D"/>
    <w:rsid w:val="00517E2B"/>
    <w:rsid w:val="005337B4"/>
    <w:rsid w:val="0053411C"/>
    <w:rsid w:val="0053697B"/>
    <w:rsid w:val="00544BC1"/>
    <w:rsid w:val="00544F84"/>
    <w:rsid w:val="00550015"/>
    <w:rsid w:val="0055190B"/>
    <w:rsid w:val="00555C9A"/>
    <w:rsid w:val="00560DB2"/>
    <w:rsid w:val="0056295B"/>
    <w:rsid w:val="0057091A"/>
    <w:rsid w:val="00573CA1"/>
    <w:rsid w:val="0057680E"/>
    <w:rsid w:val="0058005D"/>
    <w:rsid w:val="00582413"/>
    <w:rsid w:val="00590DE4"/>
    <w:rsid w:val="005A78F3"/>
    <w:rsid w:val="005B25C9"/>
    <w:rsid w:val="005B6CAF"/>
    <w:rsid w:val="005B76FA"/>
    <w:rsid w:val="005D0AB1"/>
    <w:rsid w:val="005D220D"/>
    <w:rsid w:val="005E2DE9"/>
    <w:rsid w:val="005F0444"/>
    <w:rsid w:val="005F07E8"/>
    <w:rsid w:val="005F4051"/>
    <w:rsid w:val="005F4A1A"/>
    <w:rsid w:val="006001DA"/>
    <w:rsid w:val="00601FF2"/>
    <w:rsid w:val="006022B0"/>
    <w:rsid w:val="00613C1B"/>
    <w:rsid w:val="006151F4"/>
    <w:rsid w:val="0061757E"/>
    <w:rsid w:val="00617ADB"/>
    <w:rsid w:val="00643DCA"/>
    <w:rsid w:val="006600D6"/>
    <w:rsid w:val="00662527"/>
    <w:rsid w:val="006630CB"/>
    <w:rsid w:val="00664A10"/>
    <w:rsid w:val="00666E14"/>
    <w:rsid w:val="0067693F"/>
    <w:rsid w:val="006838A6"/>
    <w:rsid w:val="00686D1C"/>
    <w:rsid w:val="006919D1"/>
    <w:rsid w:val="00691DDC"/>
    <w:rsid w:val="006A1B24"/>
    <w:rsid w:val="006A5FD9"/>
    <w:rsid w:val="006A64C1"/>
    <w:rsid w:val="006B52C0"/>
    <w:rsid w:val="006C36EC"/>
    <w:rsid w:val="006C4AA5"/>
    <w:rsid w:val="006C58B9"/>
    <w:rsid w:val="006D4968"/>
    <w:rsid w:val="006D7412"/>
    <w:rsid w:val="006D7F2B"/>
    <w:rsid w:val="006E70CE"/>
    <w:rsid w:val="006E7E2C"/>
    <w:rsid w:val="006F0C5F"/>
    <w:rsid w:val="006F2C8E"/>
    <w:rsid w:val="006F7368"/>
    <w:rsid w:val="006F73CC"/>
    <w:rsid w:val="0070091C"/>
    <w:rsid w:val="007018AF"/>
    <w:rsid w:val="00701A5A"/>
    <w:rsid w:val="007032FC"/>
    <w:rsid w:val="00707E0D"/>
    <w:rsid w:val="0071096E"/>
    <w:rsid w:val="00711D45"/>
    <w:rsid w:val="007172E0"/>
    <w:rsid w:val="00722998"/>
    <w:rsid w:val="00724245"/>
    <w:rsid w:val="00733599"/>
    <w:rsid w:val="00733E9E"/>
    <w:rsid w:val="007362CA"/>
    <w:rsid w:val="00736DC8"/>
    <w:rsid w:val="007376DE"/>
    <w:rsid w:val="0074023D"/>
    <w:rsid w:val="007412EB"/>
    <w:rsid w:val="00745DFE"/>
    <w:rsid w:val="00750DCB"/>
    <w:rsid w:val="00752A76"/>
    <w:rsid w:val="00753AD3"/>
    <w:rsid w:val="00755F74"/>
    <w:rsid w:val="00763741"/>
    <w:rsid w:val="00764219"/>
    <w:rsid w:val="00770413"/>
    <w:rsid w:val="00773EE1"/>
    <w:rsid w:val="00781465"/>
    <w:rsid w:val="00785354"/>
    <w:rsid w:val="00785579"/>
    <w:rsid w:val="00790BC5"/>
    <w:rsid w:val="007A01B8"/>
    <w:rsid w:val="007A09CC"/>
    <w:rsid w:val="007A13AF"/>
    <w:rsid w:val="007A5F7D"/>
    <w:rsid w:val="007B091E"/>
    <w:rsid w:val="007B180E"/>
    <w:rsid w:val="007B4931"/>
    <w:rsid w:val="007D14F5"/>
    <w:rsid w:val="007D409B"/>
    <w:rsid w:val="00801040"/>
    <w:rsid w:val="008031CB"/>
    <w:rsid w:val="0080335C"/>
    <w:rsid w:val="008142F3"/>
    <w:rsid w:val="0081465B"/>
    <w:rsid w:val="00820526"/>
    <w:rsid w:val="00825E8A"/>
    <w:rsid w:val="008276E9"/>
    <w:rsid w:val="0083471A"/>
    <w:rsid w:val="00845844"/>
    <w:rsid w:val="0086298A"/>
    <w:rsid w:val="00865EBE"/>
    <w:rsid w:val="00867766"/>
    <w:rsid w:val="00870191"/>
    <w:rsid w:val="0088789C"/>
    <w:rsid w:val="00893448"/>
    <w:rsid w:val="0089356A"/>
    <w:rsid w:val="008956AA"/>
    <w:rsid w:val="008A70C0"/>
    <w:rsid w:val="008B2BAD"/>
    <w:rsid w:val="008C12A8"/>
    <w:rsid w:val="008C51AF"/>
    <w:rsid w:val="008D2833"/>
    <w:rsid w:val="008F2251"/>
    <w:rsid w:val="0090112A"/>
    <w:rsid w:val="009015EA"/>
    <w:rsid w:val="009037E4"/>
    <w:rsid w:val="00903EB5"/>
    <w:rsid w:val="009045FA"/>
    <w:rsid w:val="009046A3"/>
    <w:rsid w:val="00904C5E"/>
    <w:rsid w:val="00905EBA"/>
    <w:rsid w:val="00907F04"/>
    <w:rsid w:val="00913644"/>
    <w:rsid w:val="00915966"/>
    <w:rsid w:val="00920F3F"/>
    <w:rsid w:val="00921E4C"/>
    <w:rsid w:val="00926F65"/>
    <w:rsid w:val="00927B66"/>
    <w:rsid w:val="00930F4C"/>
    <w:rsid w:val="00934BD2"/>
    <w:rsid w:val="0093730A"/>
    <w:rsid w:val="00940664"/>
    <w:rsid w:val="00941AB4"/>
    <w:rsid w:val="00942C8D"/>
    <w:rsid w:val="00944F9D"/>
    <w:rsid w:val="00946597"/>
    <w:rsid w:val="009538E8"/>
    <w:rsid w:val="0097053F"/>
    <w:rsid w:val="0097446A"/>
    <w:rsid w:val="00974BBD"/>
    <w:rsid w:val="00980C15"/>
    <w:rsid w:val="00992B98"/>
    <w:rsid w:val="0099424B"/>
    <w:rsid w:val="009A14D5"/>
    <w:rsid w:val="009A42B9"/>
    <w:rsid w:val="009A6F13"/>
    <w:rsid w:val="009B7526"/>
    <w:rsid w:val="009D06E0"/>
    <w:rsid w:val="009F29BA"/>
    <w:rsid w:val="00A00BE5"/>
    <w:rsid w:val="00A014D8"/>
    <w:rsid w:val="00A05D3B"/>
    <w:rsid w:val="00A10BA8"/>
    <w:rsid w:val="00A167C7"/>
    <w:rsid w:val="00A2150D"/>
    <w:rsid w:val="00A25C2A"/>
    <w:rsid w:val="00A32801"/>
    <w:rsid w:val="00A32C39"/>
    <w:rsid w:val="00A373C4"/>
    <w:rsid w:val="00A5223D"/>
    <w:rsid w:val="00A549BD"/>
    <w:rsid w:val="00A551BF"/>
    <w:rsid w:val="00A56FFC"/>
    <w:rsid w:val="00A614CC"/>
    <w:rsid w:val="00A646A4"/>
    <w:rsid w:val="00A649EE"/>
    <w:rsid w:val="00A6703C"/>
    <w:rsid w:val="00A74132"/>
    <w:rsid w:val="00A7643E"/>
    <w:rsid w:val="00A764BA"/>
    <w:rsid w:val="00A85373"/>
    <w:rsid w:val="00A8580C"/>
    <w:rsid w:val="00A86D9B"/>
    <w:rsid w:val="00A9723A"/>
    <w:rsid w:val="00AA31C5"/>
    <w:rsid w:val="00AA68DE"/>
    <w:rsid w:val="00AA7791"/>
    <w:rsid w:val="00AB20C7"/>
    <w:rsid w:val="00AB57AC"/>
    <w:rsid w:val="00AB69A1"/>
    <w:rsid w:val="00AC0A08"/>
    <w:rsid w:val="00AC1B39"/>
    <w:rsid w:val="00AC2AFD"/>
    <w:rsid w:val="00AC67AC"/>
    <w:rsid w:val="00AE3050"/>
    <w:rsid w:val="00AE3935"/>
    <w:rsid w:val="00B0481B"/>
    <w:rsid w:val="00B12D17"/>
    <w:rsid w:val="00B30920"/>
    <w:rsid w:val="00B417EC"/>
    <w:rsid w:val="00B44793"/>
    <w:rsid w:val="00B44939"/>
    <w:rsid w:val="00B44B78"/>
    <w:rsid w:val="00B53530"/>
    <w:rsid w:val="00B54E9B"/>
    <w:rsid w:val="00B55DB4"/>
    <w:rsid w:val="00B702B4"/>
    <w:rsid w:val="00B70DE1"/>
    <w:rsid w:val="00B72DBF"/>
    <w:rsid w:val="00B75648"/>
    <w:rsid w:val="00B77331"/>
    <w:rsid w:val="00B8533C"/>
    <w:rsid w:val="00B93743"/>
    <w:rsid w:val="00B96627"/>
    <w:rsid w:val="00BA2D1C"/>
    <w:rsid w:val="00BA477A"/>
    <w:rsid w:val="00BA6008"/>
    <w:rsid w:val="00BA653A"/>
    <w:rsid w:val="00BB004E"/>
    <w:rsid w:val="00BC51FB"/>
    <w:rsid w:val="00BD00AD"/>
    <w:rsid w:val="00BD1452"/>
    <w:rsid w:val="00BD49DB"/>
    <w:rsid w:val="00BD5C93"/>
    <w:rsid w:val="00BE0469"/>
    <w:rsid w:val="00BF066D"/>
    <w:rsid w:val="00BF442A"/>
    <w:rsid w:val="00BF77F8"/>
    <w:rsid w:val="00C00903"/>
    <w:rsid w:val="00C20159"/>
    <w:rsid w:val="00C20593"/>
    <w:rsid w:val="00C25E77"/>
    <w:rsid w:val="00C27F08"/>
    <w:rsid w:val="00C27F40"/>
    <w:rsid w:val="00C37B98"/>
    <w:rsid w:val="00C44C55"/>
    <w:rsid w:val="00C554C6"/>
    <w:rsid w:val="00C57D11"/>
    <w:rsid w:val="00C609CB"/>
    <w:rsid w:val="00C6593C"/>
    <w:rsid w:val="00C65C4A"/>
    <w:rsid w:val="00C76804"/>
    <w:rsid w:val="00C80A51"/>
    <w:rsid w:val="00C80FFE"/>
    <w:rsid w:val="00C81716"/>
    <w:rsid w:val="00C82105"/>
    <w:rsid w:val="00C82391"/>
    <w:rsid w:val="00C827A9"/>
    <w:rsid w:val="00C86A68"/>
    <w:rsid w:val="00C9121E"/>
    <w:rsid w:val="00C94C0E"/>
    <w:rsid w:val="00CA4DE3"/>
    <w:rsid w:val="00CA7C07"/>
    <w:rsid w:val="00CB0837"/>
    <w:rsid w:val="00CD6C49"/>
    <w:rsid w:val="00CD7653"/>
    <w:rsid w:val="00CE018E"/>
    <w:rsid w:val="00CE31F7"/>
    <w:rsid w:val="00CE35A6"/>
    <w:rsid w:val="00CF2D0D"/>
    <w:rsid w:val="00D0158A"/>
    <w:rsid w:val="00D04B03"/>
    <w:rsid w:val="00D23E12"/>
    <w:rsid w:val="00D30197"/>
    <w:rsid w:val="00D30C1D"/>
    <w:rsid w:val="00D32624"/>
    <w:rsid w:val="00D40D19"/>
    <w:rsid w:val="00D44CCD"/>
    <w:rsid w:val="00D464A2"/>
    <w:rsid w:val="00D660D9"/>
    <w:rsid w:val="00D71ED0"/>
    <w:rsid w:val="00D753D8"/>
    <w:rsid w:val="00D76A2F"/>
    <w:rsid w:val="00D844B6"/>
    <w:rsid w:val="00D85BC7"/>
    <w:rsid w:val="00D87E7D"/>
    <w:rsid w:val="00D9348F"/>
    <w:rsid w:val="00D944F4"/>
    <w:rsid w:val="00D95824"/>
    <w:rsid w:val="00D958AC"/>
    <w:rsid w:val="00D96FB3"/>
    <w:rsid w:val="00D9734B"/>
    <w:rsid w:val="00D97BFF"/>
    <w:rsid w:val="00DA45B5"/>
    <w:rsid w:val="00DB3A13"/>
    <w:rsid w:val="00DE08E8"/>
    <w:rsid w:val="00DE0DFB"/>
    <w:rsid w:val="00DE4881"/>
    <w:rsid w:val="00DF4D7B"/>
    <w:rsid w:val="00DF55AF"/>
    <w:rsid w:val="00DF5607"/>
    <w:rsid w:val="00DF7968"/>
    <w:rsid w:val="00DF79ED"/>
    <w:rsid w:val="00E06F07"/>
    <w:rsid w:val="00E143B5"/>
    <w:rsid w:val="00E15F52"/>
    <w:rsid w:val="00E2025F"/>
    <w:rsid w:val="00E2151C"/>
    <w:rsid w:val="00E302A6"/>
    <w:rsid w:val="00E3557F"/>
    <w:rsid w:val="00E40698"/>
    <w:rsid w:val="00E42F04"/>
    <w:rsid w:val="00E43C54"/>
    <w:rsid w:val="00E452C5"/>
    <w:rsid w:val="00E4602B"/>
    <w:rsid w:val="00E4623C"/>
    <w:rsid w:val="00E50ABE"/>
    <w:rsid w:val="00E546DB"/>
    <w:rsid w:val="00E611CE"/>
    <w:rsid w:val="00E63194"/>
    <w:rsid w:val="00E72AEC"/>
    <w:rsid w:val="00E74B71"/>
    <w:rsid w:val="00E8128D"/>
    <w:rsid w:val="00E82BD4"/>
    <w:rsid w:val="00E9064F"/>
    <w:rsid w:val="00E95E20"/>
    <w:rsid w:val="00EA0C09"/>
    <w:rsid w:val="00EA7762"/>
    <w:rsid w:val="00EB1724"/>
    <w:rsid w:val="00EB3DB8"/>
    <w:rsid w:val="00EB5527"/>
    <w:rsid w:val="00EB6F40"/>
    <w:rsid w:val="00ED0ABD"/>
    <w:rsid w:val="00ED299B"/>
    <w:rsid w:val="00ED3244"/>
    <w:rsid w:val="00EE295E"/>
    <w:rsid w:val="00EE7A1F"/>
    <w:rsid w:val="00EF3158"/>
    <w:rsid w:val="00EF57E2"/>
    <w:rsid w:val="00EF70F8"/>
    <w:rsid w:val="00F01A1B"/>
    <w:rsid w:val="00F061EE"/>
    <w:rsid w:val="00F103D4"/>
    <w:rsid w:val="00F1083F"/>
    <w:rsid w:val="00F11E8A"/>
    <w:rsid w:val="00F1603A"/>
    <w:rsid w:val="00F171DA"/>
    <w:rsid w:val="00F27434"/>
    <w:rsid w:val="00F36A0D"/>
    <w:rsid w:val="00F36FCA"/>
    <w:rsid w:val="00F43930"/>
    <w:rsid w:val="00F55BF4"/>
    <w:rsid w:val="00F56D6D"/>
    <w:rsid w:val="00F5731F"/>
    <w:rsid w:val="00F6016A"/>
    <w:rsid w:val="00F66EB3"/>
    <w:rsid w:val="00F673FD"/>
    <w:rsid w:val="00F67DBB"/>
    <w:rsid w:val="00F67FAD"/>
    <w:rsid w:val="00F70723"/>
    <w:rsid w:val="00F77950"/>
    <w:rsid w:val="00F92EF5"/>
    <w:rsid w:val="00F944F5"/>
    <w:rsid w:val="00FA2D9A"/>
    <w:rsid w:val="00FB21AF"/>
    <w:rsid w:val="00FC40A3"/>
    <w:rsid w:val="00FD1A84"/>
    <w:rsid w:val="00FD38E8"/>
    <w:rsid w:val="00FD5602"/>
    <w:rsid w:val="00FD7C80"/>
    <w:rsid w:val="00FE0A1C"/>
    <w:rsid w:val="00FE22D2"/>
    <w:rsid w:val="00FE4507"/>
    <w:rsid w:val="00FE6EC2"/>
    <w:rsid w:val="00FE7D94"/>
    <w:rsid w:val="00FF1EC3"/>
    <w:rsid w:val="00FF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CB6B"/>
  <w15:chartTrackingRefBased/>
  <w15:docId w15:val="{60B47871-8CDF-4420-96C3-E9492258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7F"/>
    <w:rPr>
      <w:rFonts w:ascii="Times New Roman" w:eastAsia="Times New Roman" w:hAnsi="Times New Roman"/>
      <w:sz w:val="26"/>
      <w:szCs w:val="26"/>
    </w:rPr>
  </w:style>
  <w:style w:type="paragraph" w:styleId="Heading1">
    <w:name w:val="heading 1"/>
    <w:basedOn w:val="Normal"/>
    <w:next w:val="Normal"/>
    <w:link w:val="Heading1Char"/>
    <w:qFormat/>
    <w:rsid w:val="00452A1B"/>
    <w:pPr>
      <w:keepNext/>
      <w:outlineLvl w:val="0"/>
    </w:pPr>
    <w:rPr>
      <w:rFonts w:ascii=".VnTimeH" w:hAnsi=".VnTimeH"/>
      <w:b/>
      <w:bCs/>
      <w:szCs w:val="24"/>
      <w:lang w:val="x-none" w:eastAsia="x-none"/>
    </w:rPr>
  </w:style>
  <w:style w:type="paragraph" w:styleId="Heading2">
    <w:name w:val="heading 2"/>
    <w:basedOn w:val="Normal"/>
    <w:next w:val="Normal"/>
    <w:link w:val="Heading2Char"/>
    <w:uiPriority w:val="9"/>
    <w:unhideWhenUsed/>
    <w:qFormat/>
    <w:rsid w:val="003C6FCE"/>
    <w:pPr>
      <w:keepNext/>
      <w:keepLines/>
      <w:spacing w:before="40" w:line="360" w:lineRule="exact"/>
      <w:ind w:firstLine="567"/>
      <w:jc w:val="both"/>
      <w:outlineLvl w:val="1"/>
    </w:pPr>
    <w:rPr>
      <w:rFonts w:ascii="Calibri Light" w:eastAsia="Yu Gothic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3C7F"/>
    <w:rPr>
      <w:b/>
      <w:bCs/>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rsid w:val="002E3C7F"/>
    <w:pPr>
      <w:spacing w:before="100" w:beforeAutospacing="1" w:after="100" w:afterAutospacing="1"/>
    </w:pPr>
    <w:rPr>
      <w:sz w:val="24"/>
      <w:szCs w:val="24"/>
    </w:rPr>
  </w:style>
  <w:style w:type="character" w:customStyle="1" w:styleId="Heading1Char">
    <w:name w:val="Heading 1 Char"/>
    <w:link w:val="Heading1"/>
    <w:rsid w:val="00452A1B"/>
    <w:rPr>
      <w:rFonts w:ascii=".VnTimeH" w:eastAsia="Times New Roman" w:hAnsi=".VnTimeH"/>
      <w:b/>
      <w:bCs/>
      <w:sz w:val="26"/>
      <w:szCs w:val="24"/>
    </w:rPr>
  </w:style>
  <w:style w:type="paragraph" w:styleId="FootnoteText">
    <w:name w:val="footnote text"/>
    <w:basedOn w:val="Normal"/>
    <w:link w:val="FootnoteTextChar"/>
    <w:unhideWhenUsed/>
    <w:rsid w:val="00452A1B"/>
    <w:rPr>
      <w:rFonts w:ascii=".VnTime" w:hAnsi=".VnTime"/>
      <w:sz w:val="20"/>
      <w:szCs w:val="20"/>
      <w:lang w:val="x-none" w:eastAsia="x-none"/>
    </w:rPr>
  </w:style>
  <w:style w:type="character" w:customStyle="1" w:styleId="FootnoteTextChar">
    <w:name w:val="Footnote Text Char"/>
    <w:link w:val="FootnoteText"/>
    <w:rsid w:val="00452A1B"/>
    <w:rPr>
      <w:rFonts w:ascii=".VnTime" w:eastAsia="Times New Roman" w:hAnsi=".VnTime"/>
    </w:rPr>
  </w:style>
  <w:style w:type="character" w:styleId="FootnoteReference">
    <w:name w:val="footnote reference"/>
    <w:unhideWhenUsed/>
    <w:rsid w:val="00452A1B"/>
    <w:rPr>
      <w:vertAlign w:val="superscript"/>
    </w:rPr>
  </w:style>
  <w:style w:type="table" w:styleId="TableGrid">
    <w:name w:val="Table Grid"/>
    <w:basedOn w:val="TableNormal"/>
    <w:uiPriority w:val="59"/>
    <w:rsid w:val="005059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20B7"/>
    <w:rPr>
      <w:rFonts w:ascii="Segoe UI" w:hAnsi="Segoe UI"/>
      <w:sz w:val="18"/>
      <w:szCs w:val="18"/>
      <w:lang w:val="x-none" w:eastAsia="x-none"/>
    </w:rPr>
  </w:style>
  <w:style w:type="character" w:customStyle="1" w:styleId="BalloonTextChar">
    <w:name w:val="Balloon Text Char"/>
    <w:link w:val="BalloonText"/>
    <w:uiPriority w:val="99"/>
    <w:semiHidden/>
    <w:rsid w:val="003C20B7"/>
    <w:rPr>
      <w:rFonts w:ascii="Segoe UI" w:eastAsia="Times New Roman" w:hAnsi="Segoe UI" w:cs="Segoe UI"/>
      <w:sz w:val="18"/>
      <w:szCs w:val="18"/>
    </w:rPr>
  </w:style>
  <w:style w:type="paragraph" w:styleId="Subtitle">
    <w:name w:val="Subtitle"/>
    <w:basedOn w:val="Normal"/>
    <w:next w:val="Normal"/>
    <w:link w:val="SubtitleChar"/>
    <w:uiPriority w:val="11"/>
    <w:qFormat/>
    <w:rsid w:val="00544F84"/>
    <w:pPr>
      <w:spacing w:after="60"/>
      <w:jc w:val="center"/>
      <w:outlineLvl w:val="1"/>
    </w:pPr>
    <w:rPr>
      <w:rFonts w:ascii="Cambria" w:hAnsi="Cambria"/>
      <w:sz w:val="24"/>
      <w:szCs w:val="24"/>
    </w:rPr>
  </w:style>
  <w:style w:type="character" w:customStyle="1" w:styleId="SubtitleChar">
    <w:name w:val="Subtitle Char"/>
    <w:link w:val="Subtitle"/>
    <w:uiPriority w:val="11"/>
    <w:rsid w:val="00544F84"/>
    <w:rPr>
      <w:rFonts w:ascii="Cambria" w:eastAsia="Times New Roman" w:hAnsi="Cambria" w:cs="Times New Roman"/>
      <w:sz w:val="24"/>
      <w:szCs w:val="24"/>
    </w:rPr>
  </w:style>
  <w:style w:type="character" w:customStyle="1" w:styleId="fontstyle01">
    <w:name w:val="fontstyle01"/>
    <w:rsid w:val="00C25E77"/>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2014AE"/>
    <w:rPr>
      <w:color w:val="0563C1"/>
      <w:u w:val="single"/>
    </w:rPr>
  </w:style>
  <w:style w:type="paragraph" w:styleId="Header">
    <w:name w:val="header"/>
    <w:basedOn w:val="Normal"/>
    <w:link w:val="HeaderChar"/>
    <w:uiPriority w:val="99"/>
    <w:unhideWhenUsed/>
    <w:rsid w:val="006022B0"/>
    <w:pPr>
      <w:tabs>
        <w:tab w:val="center" w:pos="4680"/>
        <w:tab w:val="right" w:pos="9360"/>
      </w:tabs>
    </w:pPr>
  </w:style>
  <w:style w:type="character" w:customStyle="1" w:styleId="HeaderChar">
    <w:name w:val="Header Char"/>
    <w:link w:val="Header"/>
    <w:uiPriority w:val="99"/>
    <w:rsid w:val="006022B0"/>
    <w:rPr>
      <w:rFonts w:ascii="Times New Roman" w:eastAsia="Times New Roman" w:hAnsi="Times New Roman"/>
      <w:sz w:val="26"/>
      <w:szCs w:val="26"/>
    </w:rPr>
  </w:style>
  <w:style w:type="paragraph" w:styleId="Footer">
    <w:name w:val="footer"/>
    <w:basedOn w:val="Normal"/>
    <w:link w:val="FooterChar"/>
    <w:uiPriority w:val="99"/>
    <w:unhideWhenUsed/>
    <w:rsid w:val="006022B0"/>
    <w:pPr>
      <w:tabs>
        <w:tab w:val="center" w:pos="4680"/>
        <w:tab w:val="right" w:pos="9360"/>
      </w:tabs>
    </w:pPr>
  </w:style>
  <w:style w:type="character" w:customStyle="1" w:styleId="FooterChar">
    <w:name w:val="Footer Char"/>
    <w:link w:val="Footer"/>
    <w:uiPriority w:val="99"/>
    <w:rsid w:val="006022B0"/>
    <w:rPr>
      <w:rFonts w:ascii="Times New Roman" w:eastAsia="Times New Roman" w:hAnsi="Times New Roman"/>
      <w:sz w:val="26"/>
      <w:szCs w:val="26"/>
    </w:rPr>
  </w:style>
  <w:style w:type="paragraph" w:customStyle="1" w:styleId="msonospacing0">
    <w:name w:val="msonospacing"/>
    <w:basedOn w:val="Normal"/>
    <w:rsid w:val="00711D45"/>
    <w:pPr>
      <w:spacing w:before="100" w:beforeAutospacing="1" w:after="100" w:afterAutospacing="1"/>
    </w:pPr>
    <w:rPr>
      <w:sz w:val="24"/>
      <w:szCs w:val="24"/>
    </w:rPr>
  </w:style>
  <w:style w:type="paragraph" w:styleId="BodyText2">
    <w:name w:val="Body Text 2"/>
    <w:basedOn w:val="Normal"/>
    <w:link w:val="BodyText2Char"/>
    <w:rsid w:val="007B4931"/>
    <w:pPr>
      <w:tabs>
        <w:tab w:val="left" w:pos="0"/>
      </w:tabs>
      <w:spacing w:before="240" w:line="300" w:lineRule="atLeast"/>
      <w:jc w:val="both"/>
    </w:pPr>
    <w:rPr>
      <w:rFonts w:ascii=".VnTime" w:hAnsi=".VnTime"/>
      <w:b/>
      <w:sz w:val="28"/>
      <w:szCs w:val="20"/>
      <w:lang w:val="x-none" w:eastAsia="x-none"/>
    </w:rPr>
  </w:style>
  <w:style w:type="character" w:customStyle="1" w:styleId="BodyText2Char">
    <w:name w:val="Body Text 2 Char"/>
    <w:link w:val="BodyText2"/>
    <w:rsid w:val="007B4931"/>
    <w:rPr>
      <w:rFonts w:ascii=".VnTime" w:eastAsia="Times New Roman" w:hAnsi=".VnTime"/>
      <w:b/>
      <w:sz w:val="28"/>
      <w:lang w:val="x-none" w:eastAsia="x-none"/>
    </w:rPr>
  </w:style>
  <w:style w:type="paragraph" w:styleId="BodyTextIndent">
    <w:name w:val="Body Text Indent"/>
    <w:basedOn w:val="Normal"/>
    <w:link w:val="BodyTextIndentChar"/>
    <w:uiPriority w:val="99"/>
    <w:semiHidden/>
    <w:unhideWhenUsed/>
    <w:rsid w:val="007B091E"/>
    <w:pPr>
      <w:spacing w:after="120"/>
      <w:ind w:left="360"/>
    </w:pPr>
  </w:style>
  <w:style w:type="character" w:customStyle="1" w:styleId="BodyTextIndentChar">
    <w:name w:val="Body Text Indent Char"/>
    <w:link w:val="BodyTextIndent"/>
    <w:uiPriority w:val="99"/>
    <w:semiHidden/>
    <w:rsid w:val="007B091E"/>
    <w:rPr>
      <w:rFonts w:ascii="Times New Roman" w:eastAsia="Times New Roman" w:hAnsi="Times New Roman"/>
      <w:sz w:val="26"/>
      <w:szCs w:val="26"/>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rsid w:val="00773EE1"/>
    <w:rPr>
      <w:rFonts w:ascii="Times New Roman" w:eastAsia="Times New Roman" w:hAnsi="Times New Roman"/>
      <w:sz w:val="24"/>
      <w:szCs w:val="24"/>
    </w:rPr>
  </w:style>
  <w:style w:type="character" w:customStyle="1" w:styleId="Heading2Char">
    <w:name w:val="Heading 2 Char"/>
    <w:link w:val="Heading2"/>
    <w:uiPriority w:val="9"/>
    <w:rsid w:val="003C6FCE"/>
    <w:rPr>
      <w:rFonts w:ascii="Calibri Light" w:eastAsia="Yu Gothic Light"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54992">
      <w:bodyDiv w:val="1"/>
      <w:marLeft w:val="0"/>
      <w:marRight w:val="0"/>
      <w:marTop w:val="0"/>
      <w:marBottom w:val="0"/>
      <w:divBdr>
        <w:top w:val="none" w:sz="0" w:space="0" w:color="auto"/>
        <w:left w:val="none" w:sz="0" w:space="0" w:color="auto"/>
        <w:bottom w:val="none" w:sz="0" w:space="0" w:color="auto"/>
        <w:right w:val="none" w:sz="0" w:space="0" w:color="auto"/>
      </w:divBdr>
    </w:div>
    <w:div w:id="778531537">
      <w:bodyDiv w:val="1"/>
      <w:marLeft w:val="0"/>
      <w:marRight w:val="0"/>
      <w:marTop w:val="0"/>
      <w:marBottom w:val="0"/>
      <w:divBdr>
        <w:top w:val="none" w:sz="0" w:space="0" w:color="auto"/>
        <w:left w:val="none" w:sz="0" w:space="0" w:color="auto"/>
        <w:bottom w:val="none" w:sz="0" w:space="0" w:color="auto"/>
        <w:right w:val="none" w:sz="0" w:space="0" w:color="auto"/>
      </w:divBdr>
    </w:div>
    <w:div w:id="948971701">
      <w:bodyDiv w:val="1"/>
      <w:marLeft w:val="0"/>
      <w:marRight w:val="0"/>
      <w:marTop w:val="0"/>
      <w:marBottom w:val="0"/>
      <w:divBdr>
        <w:top w:val="none" w:sz="0" w:space="0" w:color="auto"/>
        <w:left w:val="none" w:sz="0" w:space="0" w:color="auto"/>
        <w:bottom w:val="none" w:sz="0" w:space="0" w:color="auto"/>
        <w:right w:val="none" w:sz="0" w:space="0" w:color="auto"/>
      </w:divBdr>
    </w:div>
    <w:div w:id="1146779054">
      <w:bodyDiv w:val="1"/>
      <w:marLeft w:val="0"/>
      <w:marRight w:val="0"/>
      <w:marTop w:val="0"/>
      <w:marBottom w:val="0"/>
      <w:divBdr>
        <w:top w:val="none" w:sz="0" w:space="0" w:color="auto"/>
        <w:left w:val="none" w:sz="0" w:space="0" w:color="auto"/>
        <w:bottom w:val="none" w:sz="0" w:space="0" w:color="auto"/>
        <w:right w:val="none" w:sz="0" w:space="0" w:color="auto"/>
      </w:divBdr>
    </w:div>
    <w:div w:id="1590506789">
      <w:bodyDiv w:val="1"/>
      <w:marLeft w:val="0"/>
      <w:marRight w:val="0"/>
      <w:marTop w:val="0"/>
      <w:marBottom w:val="0"/>
      <w:divBdr>
        <w:top w:val="none" w:sz="0" w:space="0" w:color="auto"/>
        <w:left w:val="none" w:sz="0" w:space="0" w:color="auto"/>
        <w:bottom w:val="none" w:sz="0" w:space="0" w:color="auto"/>
        <w:right w:val="none" w:sz="0" w:space="0" w:color="auto"/>
      </w:divBdr>
    </w:div>
    <w:div w:id="19223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96B7-0329-4783-843E-4A135C57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NHAN</dc:creator>
  <cp:keywords/>
  <cp:lastModifiedBy>PC</cp:lastModifiedBy>
  <cp:revision>6</cp:revision>
  <cp:lastPrinted>2025-07-08T08:25:00Z</cp:lastPrinted>
  <dcterms:created xsi:type="dcterms:W3CDTF">2026-06-03T09:13:00Z</dcterms:created>
  <dcterms:modified xsi:type="dcterms:W3CDTF">2026-06-03T09:42:00Z</dcterms:modified>
</cp:coreProperties>
</file>